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2.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1.xml" ContentType="application/vnd.openxmlformats-officedocument.wordprocessingml.footer+xml"/>
  <Override PartName="/word/header3.xml" ContentType="application/vnd.openxmlformats-officedocument.wordprocessingml.header+xml"/>
  <Override PartName="/word/settings.xml" ContentType="application/vnd.openxmlformats-officedocument.wordprocessingml.setting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media/image1.png" ContentType="image/png"/>
  <Override PartName="/word/styles.xml" ContentType="application/vnd.openxmlformats-officedocument.wordprocessingml.styles+xml"/>
  <Override PartName="/word/document.xml" ContentType="application/vnd.openxmlformats-officedocument.wordprocessingml.document.main+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141D2B"/>
  <w:body>
    <w:p>
      <w:pPr>
        <w:pStyle w:val="Normal"/>
        <w:rPr/>
      </w:pPr>
      <w:r>
        <w:rPr/>
        <w:drawing>
          <wp:anchor behindDoc="0" distT="0" distB="0" distL="0" distR="0" simplePos="0" locked="0" layoutInCell="0" allowOverlap="1" relativeHeight="16">
            <wp:simplePos x="0" y="0"/>
            <wp:positionH relativeFrom="margin">
              <wp:align>center</wp:align>
            </wp:positionH>
            <wp:positionV relativeFrom="paragraph">
              <wp:posOffset>-317500</wp:posOffset>
            </wp:positionV>
            <wp:extent cx="4922520" cy="4922520"/>
            <wp:effectExtent l="0" t="0" r="0" b="0"/>
            <wp:wrapNone/>
            <wp:docPr id="1" name="Imagen 8"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8" descr="Logotipo&#10;&#10;El contenido generado por IA puede ser incorrecto."/>
                    <pic:cNvPicPr>
                      <a:picLocks noChangeAspect="1" noChangeArrowheads="1"/>
                    </pic:cNvPicPr>
                  </pic:nvPicPr>
                  <pic:blipFill>
                    <a:blip r:embed="rId2"/>
                    <a:stretch>
                      <a:fillRect/>
                    </a:stretch>
                  </pic:blipFill>
                  <pic:spPr bwMode="auto">
                    <a:xfrm>
                      <a:off x="0" y="0"/>
                      <a:ext cx="4922520" cy="492252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jc w:val="center"/>
        <w:rPr/>
      </w:pPr>
      <w:r>
        <w:rPr/>
      </w:r>
    </w:p>
    <w:p>
      <w:pPr>
        <w:pStyle w:val="Normal"/>
        <w:rPr/>
      </w:pPr>
      <w:r>
        <w:rPr/>
      </w:r>
    </w:p>
    <w:p>
      <w:pPr>
        <w:pStyle w:val="Normal"/>
        <w:rPr/>
      </w:pPr>
      <w:r>
        <w:rPr/>
      </w:r>
    </w:p>
    <w:p>
      <w:pPr>
        <w:pStyle w:val="CoverHeading"/>
        <w:rPr/>
      </w:pPr>
      <w:r>
        <w:rPr/>
      </w:r>
    </w:p>
    <w:p>
      <w:pPr>
        <w:pStyle w:val="CoverHeading"/>
        <w:rPr/>
      </w:pPr>
      <w:r>
        <w:rPr/>
      </w:r>
    </w:p>
    <w:p>
      <w:pPr>
        <w:pStyle w:val="CoverHeading"/>
        <w:rPr/>
      </w:pPr>
      <w:r>
        <w:rPr/>
      </w:r>
    </w:p>
    <w:p>
      <w:pPr>
        <w:pStyle w:val="CoverHeading"/>
        <w:rPr/>
      </w:pPr>
      <w:r>
        <w:rPr/>
      </w:r>
    </w:p>
    <w:p>
      <w:pPr>
        <w:pStyle w:val="CoverHeading"/>
        <w:rPr/>
      </w:pPr>
      <w:r>
        <w:rPr/>
      </w:r>
    </w:p>
    <w:p>
      <w:pPr>
        <w:pStyle w:val="CoverHeading"/>
        <w:rPr/>
      </w:pPr>
      <w:r>
        <w:rPr/>
      </w:r>
    </w:p>
    <w:p>
      <w:pPr>
        <w:pStyle w:val="CoverHeading"/>
        <w:rPr/>
      </w:pPr>
      <w:r>
        <w:rPr/>
        <w:t>Internal Penetration Test</w:t>
      </w:r>
    </w:p>
    <w:p>
      <w:pPr>
        <w:pStyle w:val="Normal"/>
        <w:jc w:val="center"/>
        <w:rPr>
          <w:b/>
          <w:sz w:val="56"/>
          <w:szCs w:val="56"/>
        </w:rPr>
      </w:pPr>
      <w:r>
        <w:rPr>
          <w:b/>
          <w:sz w:val="56"/>
          <w:szCs w:val="56"/>
        </w:rPr>
        <w:t>Report of Findings</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CoverSubtitle"/>
        <w:rPr>
          <w:b/>
        </w:rPr>
      </w:pPr>
      <w:r>
        <w:rPr>
          <w:b/>
        </w:rPr>
        <w:t xml:space="preserve">Hackén </w:t>
      </w:r>
      <w:r>
        <w:rPr>
          <w:b/>
        </w:rPr>
        <w:t>III</w:t>
      </w:r>
    </w:p>
    <w:p>
      <w:pPr>
        <w:pStyle w:val="CoverDate"/>
        <w:rPr/>
      </w:pPr>
      <w:r>
        <w:rPr>
          <w:b/>
          <w:color w:themeColor="text1" w:val="000000"/>
        </w:rPr>
        <w:t xml:space="preserve"> </w:t>
      </w:r>
      <w:r>
        <w:rPr/>
        <w:t>May 30</w:t>
      </w:r>
      <w:r>
        <w:rPr/>
        <w:t>, 202</w:t>
      </w:r>
      <w:r>
        <w:rPr/>
        <w:t>5</w:t>
      </w:r>
    </w:p>
    <w:p>
      <w:pPr>
        <w:pStyle w:val="CoverVersion"/>
        <w:rPr/>
      </w:pPr>
      <w:r>
        <w:rPr/>
        <w:t>Version 1.0</w:t>
      </w:r>
    </w:p>
    <w:p>
      <w:pPr>
        <w:pStyle w:val="Normal"/>
        <w:widowControl/>
        <w:spacing w:lineRule="auto" w:line="259" w:before="0" w:after="160"/>
        <w:jc w:val="left"/>
        <w:rPr/>
      </w:pPr>
      <w:r>
        <w:rPr/>
      </w:r>
    </w:p>
    <w:p>
      <w:pPr>
        <w:pStyle w:val="Heading1"/>
        <w:rPr/>
      </w:pPr>
      <w:r>
        <w:rPr/>
        <w:t>Technical Findings Details</w:t>
      </w:r>
    </w:p>
    <w:p>
      <w:pPr>
        <w:pStyle w:val="ADScanHeading2"/>
        <w:rPr/>
      </w:pPr>
      <w:r>
        <w:rPr/>
        <w:t>north.sevenkingdoms.local</w:t>
      </w:r>
    </w:p>
    <w:p>
      <w:pPr>
        <w:pStyle w:val="FindingTitle"/>
        <w:numPr>
          <w:ilvl w:val="0"/>
          <w:numId w:val="2"/>
        </w:numPr>
        <w:ind w:hanging="360" w:left="360"/>
        <w:rPr/>
      </w:pPr>
      <w:r>
        <w:rPr/>
        <w:t>noPac/sAMAccountName spoofing (CVE-2021-42287 and CVE-2021-42278)</w:t>
      </w:r>
    </w:p>
    <w:tbl>
      <w:tblPr>
        <w:tblStyle w:val="Tablanormal1"/>
        <w:tblW w:w="1101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358"/>
        <w:gridCol w:w="8657"/>
      </w:tblGrid>
      <w:tr>
        <w:trPr>
          <w:trHeight w:val="692" w:hRule="atLeast"/>
        </w:trPr>
        <w:tc>
          <w:tcPr>
            <w:tcW w:w="2358" w:type="dxa"/>
            <w:tcBorders/>
            <w:shd w:color="auto" w:fill="FF3E3E"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CWE</w:t>
            </w:r>
          </w:p>
        </w:tc>
        <w:tc>
          <w:tcPr>
            <w:tcW w:w="8657" w:type="dxa"/>
            <w:tcBorders/>
            <w:shd w:color="auto" w:fill="A4B1CD" w:val="clear"/>
            <w:vAlign w:val="center"/>
          </w:tcPr>
          <w:p>
            <w:pPr>
              <w:pStyle w:val="Normal"/>
              <w:suppressAutoHyphens w:val="true"/>
              <w:spacing w:before="120" w:after="120"/>
              <w:jc w:val="both"/>
              <w:rPr>
                <w:rFonts w:ascii="Corbel" w:hAnsi="Corbel"/>
                <w:b/>
                <w:bCs/>
                <w:kern w:val="0"/>
                <w:sz w:val="22"/>
                <w:szCs w:val="22"/>
                <w:lang w:val="en-US" w:eastAsia="en-US" w:bidi="ar-SA"/>
              </w:rPr>
            </w:pPr>
            <w:r>
              <w:rPr>
                <w:b/>
                <w:bCs/>
                <w:kern w:val="0"/>
                <w:sz w:val="22"/>
                <w:szCs w:val="22"/>
                <w:lang w:val="en-US" w:eastAsia="en-US" w:bidi="ar-SA"/>
              </w:rPr>
              <w:t>CWE-290</w:t>
            </w:r>
          </w:p>
        </w:tc>
      </w:tr>
      <w:tr>
        <w:trPr>
          <w:trHeight w:val="743" w:hRule="atLeast"/>
        </w:trPr>
        <w:tc>
          <w:tcPr>
            <w:tcW w:w="2358" w:type="dxa"/>
            <w:tcBorders/>
            <w:shd w:color="auto" w:fill="FF3E3E"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CVSS</w:t>
            </w:r>
          </w:p>
        </w:tc>
        <w:tc>
          <w:tcPr>
            <w:tcW w:w="8657" w:type="dxa"/>
            <w:tcBorders/>
            <w:shd w:color="auto" w:fill="BFC8DC"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9.0</w:t>
            </w:r>
          </w:p>
        </w:tc>
      </w:tr>
      <w:tr>
        <w:trPr>
          <w:trHeight w:val="317" w:hRule="atLeast"/>
        </w:trPr>
        <w:tc>
          <w:tcPr>
            <w:tcW w:w="2358" w:type="dxa"/>
            <w:tcBorders/>
            <w:shd w:color="auto" w:fill="FF3E3E"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Description</w:t>
            </w:r>
          </w:p>
        </w:tc>
        <w:tc>
          <w:tcPr>
            <w:tcW w:w="8657" w:type="dxa"/>
            <w:tcBorders/>
            <w:shd w:color="auto" w:fill="A4B1CD"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This privilege escalation is based in the exploitation of two popular CVEs:</w:t>
            </w:r>
          </w:p>
          <w:p>
            <w:pPr>
              <w:pStyle w:val="Normal"/>
              <w:numPr>
                <w:ilvl w:val="0"/>
                <w:numId w:val="1"/>
              </w:numPr>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CVE-2021-42278 - Name impersonation: it allows to create computer accounts without a trailing ($) in their sAMAccountName attribute.</w:t>
            </w:r>
          </w:p>
          <w:p>
            <w:pPr>
              <w:pStyle w:val="Normal"/>
              <w:numPr>
                <w:ilvl w:val="0"/>
                <w:numId w:val="1"/>
              </w:numPr>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CVE-2021-42287 - KDC bamboozling: when requesting a Service Ticket for a user (dc01) and that user is not found, the KDC automatically searches agaian with a trailing ($) and if it is found (dc01$), then the user (dc01) just obtained a service ticket of the trailing account (dc01$).</w:t>
            </w:r>
          </w:p>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This lead to the creation of a computer account with the same the sAMAccountName of the DC, but without the trailing (CVE-2021-42278) and gain a Service Ticket for the original DC by impersonating it with the recently created computer account (CVE-2021-42287).</w:t>
            </w:r>
          </w:p>
        </w:tc>
      </w:tr>
      <w:tr>
        <w:trPr>
          <w:trHeight w:val="79" w:hRule="atLeast"/>
        </w:trPr>
        <w:tc>
          <w:tcPr>
            <w:tcW w:w="2358" w:type="dxa"/>
            <w:tcBorders/>
            <w:shd w:color="auto" w:fill="FF3E3E"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Security Impact</w:t>
            </w:r>
          </w:p>
        </w:tc>
        <w:tc>
          <w:tcPr>
            <w:tcW w:w="8657" w:type="dxa"/>
            <w:tcBorders/>
            <w:shd w:color="auto" w:fill="BFC8DC"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This vulnerability allows attackers to compromise a domain and acquire domain administrators privileges from a domain user.</w:t>
            </w:r>
          </w:p>
        </w:tc>
      </w:tr>
      <w:tr>
        <w:trPr>
          <w:trHeight w:val="317" w:hRule="atLeast"/>
        </w:trPr>
        <w:tc>
          <w:tcPr>
            <w:tcW w:w="2358" w:type="dxa"/>
            <w:tcBorders/>
            <w:shd w:color="auto" w:fill="FF3E3E"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Affected Assets</w:t>
            </w:r>
          </w:p>
        </w:tc>
        <w:tc>
          <w:tcPr>
            <w:tcW w:w="8657" w:type="dxa"/>
            <w:tcBorders/>
            <w:shd w:color="auto" w:fill="A4B1CD" w:val="clear"/>
            <w:vAlign w:val="center"/>
          </w:tcPr>
          <w:p>
            <w:pPr>
              <w:pStyle w:val="Normal"/>
              <w:numPr>
                <w:ilvl w:val="0"/>
                <w:numId w:val="1"/>
              </w:numPr>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north.sevenkingdoms.local</w:t>
            </w:r>
          </w:p>
        </w:tc>
      </w:tr>
      <w:tr>
        <w:trPr>
          <w:trHeight w:val="79" w:hRule="atLeast"/>
        </w:trPr>
        <w:tc>
          <w:tcPr>
            <w:tcW w:w="2358" w:type="dxa"/>
            <w:tcBorders/>
            <w:shd w:color="auto" w:fill="FF3E3E"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Remediation</w:t>
            </w:r>
          </w:p>
        </w:tc>
        <w:tc>
          <w:tcPr>
            <w:tcW w:w="8657" w:type="dxa"/>
            <w:tcBorders/>
            <w:shd w:color="auto" w:fill="BFC8DC"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Apply the lates security patches to Windows domain controllers.</w:t>
            </w:r>
          </w:p>
        </w:tc>
      </w:tr>
      <w:tr>
        <w:trPr>
          <w:trHeight w:val="317" w:hRule="atLeast"/>
        </w:trPr>
        <w:tc>
          <w:tcPr>
            <w:tcW w:w="2358" w:type="dxa"/>
            <w:tcBorders/>
            <w:shd w:color="auto" w:fill="FF3E3E"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External References</w:t>
            </w:r>
          </w:p>
        </w:tc>
        <w:tc>
          <w:tcPr>
            <w:tcW w:w="8657" w:type="dxa"/>
            <w:tcBorders/>
            <w:shd w:color="auto" w:fill="A4B1CD"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https://msrc.microsoft.com/update-guide/vulnerability/CVE-2021-42287</w:t>
            </w:r>
          </w:p>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https://msrc.microsoft.com/update-guide/vulnerability/CVE-2021-42278</w:t>
            </w:r>
          </w:p>
        </w:tc>
      </w:tr>
    </w:tbl>
    <w:p>
      <w:pPr>
        <w:pStyle w:val="Normal"/>
        <w:rPr/>
      </w:pPr>
      <w:r>
        <w:rPr/>
      </w:r>
      <w:r>
        <w:br w:type="page"/>
      </w:r>
    </w:p>
    <w:p>
      <w:pPr>
        <w:pStyle w:val="FindingTitle"/>
        <w:numPr>
          <w:ilvl w:val="0"/>
          <w:numId w:val="2"/>
        </w:numPr>
        <w:spacing w:before="0" w:after="120"/>
        <w:ind w:hanging="360" w:left="360"/>
        <w:rPr/>
      </w:pPr>
      <w:r>
        <w:rPr/>
        <w:t>AS-REP Roasting</w:t>
      </w:r>
    </w:p>
    <w:tbl>
      <w:tblPr>
        <w:tblStyle w:val="MediumFinding"/>
        <w:tblW w:w="1101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358"/>
        <w:gridCol w:w="8657"/>
      </w:tblGrid>
      <w:tr>
        <w:trPr>
          <w:trHeight w:val="692"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CWE</w:t>
            </w:r>
          </w:p>
        </w:tc>
        <w:tc>
          <w:tcPr>
            <w:tcW w:w="8657" w:type="dxa"/>
            <w:tcBorders/>
            <w:shd w:color="auto" w:fill="A4B1CD" w:val="clear"/>
            <w:vAlign w:val="center"/>
          </w:tcPr>
          <w:p>
            <w:pPr>
              <w:pStyle w:val="Normal"/>
              <w:suppressAutoHyphens w:val="true"/>
              <w:spacing w:before="120" w:after="120"/>
              <w:jc w:val="both"/>
              <w:rPr>
                <w:rFonts w:ascii="Corbel" w:hAnsi="Corbel"/>
                <w:b/>
                <w:bCs/>
                <w:kern w:val="0"/>
                <w:sz w:val="22"/>
                <w:szCs w:val="22"/>
                <w:lang w:val="en-US" w:eastAsia="en-US" w:bidi="ar-SA"/>
              </w:rPr>
            </w:pPr>
            <w:r>
              <w:rPr>
                <w:b/>
                <w:bCs/>
                <w:kern w:val="0"/>
                <w:sz w:val="22"/>
                <w:szCs w:val="22"/>
                <w:lang w:val="en-US" w:eastAsia="en-US" w:bidi="ar-SA"/>
              </w:rPr>
              <w:t>CWE-522</w:t>
            </w:r>
          </w:p>
        </w:tc>
      </w:tr>
      <w:tr>
        <w:trPr>
          <w:trHeight w:val="743"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CVSS</w:t>
            </w:r>
          </w:p>
        </w:tc>
        <w:tc>
          <w:tcPr>
            <w:tcW w:w="8657" w:type="dxa"/>
            <w:tcBorders/>
            <w:shd w:color="auto" w:fill="BFC8DC"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6.9</w:t>
            </w:r>
          </w:p>
        </w:tc>
      </w:tr>
      <w:tr>
        <w:trPr>
          <w:trHeight w:val="317"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Description</w:t>
            </w:r>
          </w:p>
        </w:tc>
        <w:tc>
          <w:tcPr>
            <w:tcW w:w="8657" w:type="dxa"/>
            <w:tcBorders/>
            <w:shd w:color="auto" w:fill="A4B1CD"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Preauthentication offers protection against offline Password Cracking. When enabled, a user requesting access to a resource initiates communication with the Domain Controller (DC) by sending an Authentication Server Request (AS-REQ) message with a timestamp that is encrypted with the hash of their password. If and only if the DC is able to successfully decrypt the timestamp with the hash of the user’s password, it will then send an Authentication Server Response (AS-REP) message that contains the Ticket Granting Ticket (TGT) to the user. Part of the AS-REP message is signed with the user’s password. For each account found without preauthentication, an adversary may send an AS-REQ message without the encrypted timestamp and receive an AS-REP message with TGT data which may be encrypted with an insecure algorithm such as RC4. The recovered encrypted data may be vulnerable to offline Password Cracking attacks similarly to Kerberoasting and expose plaintext credentials.</w:t>
            </w:r>
          </w:p>
        </w:tc>
      </w:tr>
      <w:tr>
        <w:trPr>
          <w:trHeight w:val="79"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Security Impact</w:t>
            </w:r>
          </w:p>
        </w:tc>
        <w:tc>
          <w:tcPr>
            <w:tcW w:w="8657" w:type="dxa"/>
            <w:tcBorders/>
            <w:shd w:color="auto" w:fill="BFC8DC"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A successful AS-REP Roasting attack along with cracked passwords could lead to lateral movement and privilege escalation in an AD environment. If a password is cracked for a Domain Administrator account or equivalent, an attacker could gain control over most, if not all, resources in the domain.</w:t>
            </w:r>
          </w:p>
        </w:tc>
      </w:tr>
      <w:tr>
        <w:trPr>
          <w:trHeight w:val="317"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Affected Assets</w:t>
            </w:r>
          </w:p>
        </w:tc>
        <w:tc>
          <w:tcPr>
            <w:tcW w:w="8657" w:type="dxa"/>
            <w:tcBorders/>
            <w:shd w:color="auto" w:fill="A4B1CD"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There are no Administrator users.</w:t>
            </w:r>
          </w:p>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General Users:</w:t>
            </w:r>
          </w:p>
          <w:p>
            <w:pPr>
              <w:pStyle w:val="Normal"/>
              <w:numPr>
                <w:ilvl w:val="0"/>
                <w:numId w:val="1"/>
              </w:numPr>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brandon.stark</w:t>
            </w:r>
          </w:p>
        </w:tc>
      </w:tr>
      <w:tr>
        <w:trPr>
          <w:trHeight w:val="79"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Remediation</w:t>
            </w:r>
          </w:p>
        </w:tc>
        <w:tc>
          <w:tcPr>
            <w:tcW w:w="8657" w:type="dxa"/>
            <w:tcBorders/>
            <w:shd w:color="auto" w:fill="BFC8DC"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Kerberos preauthentication is enabled by default. Older protocols might not support preauthentication therefore it is possible to have this setting disabled. Make sure that all accounts have preauthentication whenever possible and if it is not possible the following steps will help mitigate the risk of this attack:</w:t>
            </w:r>
          </w:p>
          <w:p>
            <w:pPr>
              <w:pStyle w:val="Normal"/>
              <w:numPr>
                <w:ilvl w:val="0"/>
                <w:numId w:val="1"/>
              </w:numPr>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Enable AES Kerberos encryption instead of RC4</w:t>
            </w:r>
          </w:p>
          <w:p>
            <w:pPr>
              <w:pStyle w:val="Normal"/>
              <w:numPr>
                <w:ilvl w:val="0"/>
                <w:numId w:val="1"/>
              </w:numPr>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Use strong 25+ character passwords for these accounts and rotate them periodically</w:t>
            </w:r>
          </w:p>
        </w:tc>
      </w:tr>
      <w:tr>
        <w:trPr>
          <w:trHeight w:val="317"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External References</w:t>
            </w:r>
          </w:p>
        </w:tc>
        <w:tc>
          <w:tcPr>
            <w:tcW w:w="8657" w:type="dxa"/>
            <w:tcBorders/>
            <w:shd w:color="auto" w:fill="A4B1CD"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https://attack.mitre.org/techniques/T1558/004/</w:t>
            </w:r>
          </w:p>
        </w:tc>
      </w:tr>
    </w:tbl>
    <w:p>
      <w:pPr>
        <w:pStyle w:val="Normal"/>
        <w:rPr/>
      </w:pPr>
      <w:r>
        <w:rPr/>
      </w:r>
      <w:r>
        <w:br w:type="page"/>
      </w:r>
    </w:p>
    <w:p>
      <w:pPr>
        <w:pStyle w:val="FindingTitle"/>
        <w:numPr>
          <w:ilvl w:val="0"/>
          <w:numId w:val="2"/>
        </w:numPr>
        <w:spacing w:before="0" w:after="120"/>
        <w:ind w:hanging="360" w:left="360"/>
        <w:rPr/>
      </w:pPr>
      <w:r>
        <w:rPr/>
        <w:t>SMB Null Session Authentication on DC</w:t>
      </w:r>
    </w:p>
    <w:tbl>
      <w:tblPr>
        <w:tblStyle w:val="MediumFinding"/>
        <w:tblW w:w="1101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358"/>
        <w:gridCol w:w="8657"/>
      </w:tblGrid>
      <w:tr>
        <w:trPr>
          <w:trHeight w:val="692"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CWE</w:t>
            </w:r>
          </w:p>
        </w:tc>
        <w:tc>
          <w:tcPr>
            <w:tcW w:w="8657" w:type="dxa"/>
            <w:tcBorders/>
            <w:shd w:color="auto" w:fill="A4B1CD" w:val="clear"/>
            <w:vAlign w:val="center"/>
          </w:tcPr>
          <w:p>
            <w:pPr>
              <w:pStyle w:val="Normal"/>
              <w:suppressAutoHyphens w:val="true"/>
              <w:spacing w:before="120" w:after="120"/>
              <w:jc w:val="both"/>
              <w:rPr>
                <w:rFonts w:ascii="Corbel" w:hAnsi="Corbel"/>
                <w:b/>
                <w:bCs/>
                <w:kern w:val="0"/>
                <w:sz w:val="22"/>
                <w:szCs w:val="22"/>
                <w:lang w:val="en-US" w:eastAsia="en-US" w:bidi="ar-SA"/>
              </w:rPr>
            </w:pPr>
            <w:r>
              <w:rPr>
                <w:b/>
                <w:bCs/>
                <w:kern w:val="0"/>
                <w:sz w:val="22"/>
                <w:szCs w:val="22"/>
                <w:lang w:val="en-US" w:eastAsia="en-US" w:bidi="ar-SA"/>
              </w:rPr>
              <w:t>CWE-284</w:t>
            </w:r>
          </w:p>
        </w:tc>
      </w:tr>
      <w:tr>
        <w:trPr>
          <w:trHeight w:val="743"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CVSS</w:t>
            </w:r>
          </w:p>
        </w:tc>
        <w:tc>
          <w:tcPr>
            <w:tcW w:w="8657" w:type="dxa"/>
            <w:tcBorders/>
            <w:shd w:color="auto" w:fill="BFC8DC"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6.9</w:t>
            </w:r>
          </w:p>
        </w:tc>
      </w:tr>
      <w:tr>
        <w:trPr>
          <w:trHeight w:val="317"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Description</w:t>
            </w:r>
          </w:p>
        </w:tc>
        <w:tc>
          <w:tcPr>
            <w:tcW w:w="8657" w:type="dxa"/>
            <w:tcBorders/>
            <w:shd w:color="auto" w:fill="A4B1CD"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Null session, also known as anonymous authentication, is a special kind of authentication during which the user doesn’t submit any credentials. In an Active Directory environment, when a user connects via a null session on a Domain Controller, he connects as a member of the “Anonymous Logon” group and inherits all ACL’s assigned to this group. By default in modern Active Directory environments, the “Anonymous Logon” group doesn't have any permissions, but in some legacy environments, it is part of the “Pre-Windows 2000 Compatible Access” group, which has permissions to authenticate through a null session on the DCs.</w:t>
            </w:r>
          </w:p>
        </w:tc>
      </w:tr>
      <w:tr>
        <w:trPr>
          <w:trHeight w:val="79"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Security Impact</w:t>
            </w:r>
          </w:p>
        </w:tc>
        <w:tc>
          <w:tcPr>
            <w:tcW w:w="8657" w:type="dxa"/>
            <w:tcBorders/>
            <w:shd w:color="auto" w:fill="BFC8DC"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Once connected to a Domain Controller through a null session, attackers are available to enumerate information about your domain, such as users and password policies. With this information, an attacker can learn about any potential vulnerabilities or ways to best attack your systems.</w:t>
            </w:r>
          </w:p>
        </w:tc>
      </w:tr>
      <w:tr>
        <w:trPr>
          <w:trHeight w:val="317"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Affected Assets</w:t>
            </w:r>
          </w:p>
        </w:tc>
        <w:tc>
          <w:tcPr>
            <w:tcW w:w="8657" w:type="dxa"/>
            <w:tcBorders/>
            <w:shd w:color="auto" w:fill="A4B1CD" w:val="clear"/>
            <w:vAlign w:val="center"/>
          </w:tcPr>
          <w:p>
            <w:pPr>
              <w:pStyle w:val="Normal"/>
              <w:numPr>
                <w:ilvl w:val="0"/>
                <w:numId w:val="1"/>
              </w:numPr>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north.sevenkingdoms.local</w:t>
            </w:r>
          </w:p>
        </w:tc>
      </w:tr>
      <w:tr>
        <w:trPr>
          <w:trHeight w:val="79"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Remediation</w:t>
            </w:r>
          </w:p>
        </w:tc>
        <w:tc>
          <w:tcPr>
            <w:tcW w:w="8657" w:type="dxa"/>
            <w:tcBorders/>
            <w:shd w:color="auto" w:fill="BFC8DC" w:val="clear"/>
            <w:vAlign w:val="center"/>
          </w:tcPr>
          <w:p>
            <w:pPr>
              <w:pStyle w:val="Normal"/>
              <w:numPr>
                <w:ilvl w:val="0"/>
                <w:numId w:val="1"/>
              </w:numPr>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Remove the membership of the “Anonymous Logon” group from the “Pre-Windows 2000 Compatible Access” group</w:t>
            </w:r>
          </w:p>
          <w:p>
            <w:pPr>
              <w:pStyle w:val="Normal"/>
              <w:numPr>
                <w:ilvl w:val="0"/>
                <w:numId w:val="1"/>
              </w:numPr>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Alternatevely, remove all the ACLs thath allow the members of the “Anonymous Logon” to connect through a null session on the DCs</w:t>
            </w:r>
          </w:p>
        </w:tc>
      </w:tr>
      <w:tr>
        <w:trPr>
          <w:trHeight w:val="317"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External References</w:t>
            </w:r>
          </w:p>
        </w:tc>
        <w:tc>
          <w:tcPr>
            <w:tcW w:w="8657" w:type="dxa"/>
            <w:tcBorders/>
            <w:shd w:color="auto" w:fill="A4B1CD"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https://blog.whiteflag.io/blog/guest-vs-null-session-on-windows/</w:t>
            </w:r>
          </w:p>
        </w:tc>
      </w:tr>
    </w:tbl>
    <w:p>
      <w:pPr>
        <w:pStyle w:val="Normal"/>
        <w:rPr/>
      </w:pPr>
      <w:r>
        <w:rPr/>
      </w:r>
      <w:r>
        <w:br w:type="page"/>
      </w:r>
    </w:p>
    <w:p>
      <w:pPr>
        <w:pStyle w:val="FindingTitle"/>
        <w:numPr>
          <w:ilvl w:val="0"/>
          <w:numId w:val="2"/>
        </w:numPr>
        <w:spacing w:before="0" w:after="120"/>
        <w:ind w:hanging="360" w:left="360"/>
        <w:rPr/>
      </w:pPr>
      <w:r>
        <w:rPr/>
        <w:t>Kerberoasting</w:t>
      </w:r>
    </w:p>
    <w:tbl>
      <w:tblPr>
        <w:tblStyle w:val="MediumFinding"/>
        <w:tblW w:w="1101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358"/>
        <w:gridCol w:w="8657"/>
      </w:tblGrid>
      <w:tr>
        <w:trPr>
          <w:trHeight w:val="692"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CWE</w:t>
            </w:r>
          </w:p>
        </w:tc>
        <w:tc>
          <w:tcPr>
            <w:tcW w:w="8657" w:type="dxa"/>
            <w:tcBorders/>
            <w:shd w:color="auto" w:fill="A4B1CD" w:val="clear"/>
            <w:vAlign w:val="center"/>
          </w:tcPr>
          <w:p>
            <w:pPr>
              <w:pStyle w:val="Normal"/>
              <w:suppressAutoHyphens w:val="true"/>
              <w:spacing w:before="120" w:after="120"/>
              <w:jc w:val="both"/>
              <w:rPr>
                <w:rFonts w:ascii="Corbel" w:hAnsi="Corbel"/>
                <w:b/>
                <w:bCs/>
                <w:kern w:val="0"/>
                <w:sz w:val="22"/>
                <w:szCs w:val="22"/>
                <w:lang w:val="en-US" w:eastAsia="en-US" w:bidi="ar-SA"/>
              </w:rPr>
            </w:pPr>
            <w:r>
              <w:rPr>
                <w:b/>
                <w:bCs/>
                <w:kern w:val="0"/>
                <w:sz w:val="22"/>
                <w:szCs w:val="22"/>
                <w:lang w:val="en-US" w:eastAsia="en-US" w:bidi="ar-SA"/>
              </w:rPr>
              <w:t>CWE-522</w:t>
            </w:r>
          </w:p>
        </w:tc>
      </w:tr>
      <w:tr>
        <w:trPr>
          <w:trHeight w:val="743"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CVSS</w:t>
            </w:r>
          </w:p>
        </w:tc>
        <w:tc>
          <w:tcPr>
            <w:tcW w:w="8657" w:type="dxa"/>
            <w:tcBorders/>
            <w:shd w:color="auto" w:fill="BFC8DC"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5.3</w:t>
            </w:r>
          </w:p>
        </w:tc>
      </w:tr>
      <w:tr>
        <w:trPr>
          <w:trHeight w:val="317"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Description</w:t>
            </w:r>
          </w:p>
        </w:tc>
        <w:tc>
          <w:tcPr>
            <w:tcW w:w="8657" w:type="dxa"/>
            <w:tcBorders/>
            <w:shd w:color="auto" w:fill="A4B1CD"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In an Active Directory (AD) environment, Service Principal Names (SPNs) are used to uniquely identify instances of a Windows service. Kerberos authentication requires that each SPN be associated with one service account (Active Directory user account). Any authenticated AD user can request one or more Kerberos Ticket-Granting Service (TGS) tickets from the domain controller for any SPN accounts. These tickets are encrypted with the associated AD account's NTLM password hash. They can be brute forced offline using a password cracking tool such as Hashcat if a weak password is used along with the RC4 encryption algorithm. If AES encryption is in use, it will take more resources to crack a ticket to reveal the account's clear-text password, but it is possible if weak passwords are in use.</w:t>
            </w:r>
          </w:p>
        </w:tc>
      </w:tr>
      <w:tr>
        <w:trPr>
          <w:trHeight w:val="79"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Security Impact</w:t>
            </w:r>
          </w:p>
        </w:tc>
        <w:tc>
          <w:tcPr>
            <w:tcW w:w="8657" w:type="dxa"/>
            <w:tcBorders/>
            <w:shd w:color="auto" w:fill="BFC8DC"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A successful Kerberoasting attack along with cracked passwords could lead to lateral movement and privilege escalation in an AD environment. If a password is cracked for a Domain Administrator account or equivalent, an attacker could gain control over most, if not all, resources in the domain.</w:t>
            </w:r>
          </w:p>
        </w:tc>
      </w:tr>
      <w:tr>
        <w:trPr>
          <w:trHeight w:val="317"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Affected Assets</w:t>
            </w:r>
          </w:p>
        </w:tc>
        <w:tc>
          <w:tcPr>
            <w:tcW w:w="8657" w:type="dxa"/>
            <w:tcBorders/>
            <w:shd w:color="auto" w:fill="A4B1CD"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There are no Administrator users.</w:t>
            </w:r>
          </w:p>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General Users:</w:t>
            </w:r>
          </w:p>
          <w:p>
            <w:pPr>
              <w:pStyle w:val="Normal"/>
              <w:numPr>
                <w:ilvl w:val="0"/>
                <w:numId w:val="1"/>
              </w:numPr>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sansa.stark</w:t>
            </w:r>
          </w:p>
          <w:p>
            <w:pPr>
              <w:pStyle w:val="Normal"/>
              <w:numPr>
                <w:ilvl w:val="0"/>
                <w:numId w:val="1"/>
              </w:numPr>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jon.snow</w:t>
            </w:r>
          </w:p>
          <w:p>
            <w:pPr>
              <w:pStyle w:val="Normal"/>
              <w:numPr>
                <w:ilvl w:val="0"/>
                <w:numId w:val="1"/>
              </w:numPr>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sql_svc</w:t>
            </w:r>
          </w:p>
        </w:tc>
      </w:tr>
      <w:tr>
        <w:trPr>
          <w:trHeight w:val="79"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Remediation</w:t>
            </w:r>
          </w:p>
        </w:tc>
        <w:tc>
          <w:tcPr>
            <w:tcW w:w="8657" w:type="dxa"/>
            <w:tcBorders/>
            <w:shd w:color="auto" w:fill="BFC8DC"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Where possible eliminate SPNs in the environment in favor of Group Managed Service Accounts (gMSA) which are not subject to this type of attack. If migration to gMSAs is not possible the following steps will help mitigate the risk of this attack:</w:t>
            </w:r>
          </w:p>
          <w:p>
            <w:pPr>
              <w:pStyle w:val="Normal"/>
              <w:numPr>
                <w:ilvl w:val="0"/>
                <w:numId w:val="1"/>
              </w:numPr>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Enable AES Kerberos encryption instead of RC4</w:t>
            </w:r>
          </w:p>
          <w:p>
            <w:pPr>
              <w:pStyle w:val="Normal"/>
              <w:numPr>
                <w:ilvl w:val="0"/>
                <w:numId w:val="1"/>
              </w:numPr>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Use strong 25+ character passwords for service accounts and rotate them periodically</w:t>
            </w:r>
          </w:p>
          <w:p>
            <w:pPr>
              <w:pStyle w:val="Normal"/>
              <w:numPr>
                <w:ilvl w:val="0"/>
                <w:numId w:val="1"/>
              </w:numPr>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Limit the privileges of service accounts and avoid creating SPNs tied to highly privileged accounts such as Domain Administrators</w:t>
            </w:r>
          </w:p>
        </w:tc>
      </w:tr>
      <w:tr>
        <w:trPr>
          <w:trHeight w:val="317"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External References</w:t>
            </w:r>
          </w:p>
        </w:tc>
        <w:tc>
          <w:tcPr>
            <w:tcW w:w="8657" w:type="dxa"/>
            <w:tcBorders/>
            <w:shd w:color="auto" w:fill="A4B1CD"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https://attack.mitre.org/techniques/T1558/003/</w:t>
            </w:r>
          </w:p>
        </w:tc>
      </w:tr>
    </w:tbl>
    <w:p>
      <w:pPr>
        <w:pStyle w:val="ADScanHeading2"/>
        <w:spacing w:before="0" w:after="120"/>
        <w:contextualSpacing/>
        <w:rPr/>
      </w:pPr>
      <w:r>
        <w:rPr/>
        <w:t>essos.local</w:t>
      </w:r>
    </w:p>
    <w:p>
      <w:pPr>
        <w:pStyle w:val="FindingTitle"/>
        <w:numPr>
          <w:ilvl w:val="0"/>
          <w:numId w:val="2"/>
        </w:numPr>
        <w:ind w:hanging="360" w:left="360"/>
        <w:rPr/>
      </w:pPr>
      <w:r>
        <w:rPr/>
        <w:t>ZeroLogon (CVE-2020-1472)</w:t>
      </w:r>
    </w:p>
    <w:tbl>
      <w:tblPr>
        <w:tblStyle w:val="Tablanormal1"/>
        <w:tblW w:w="1101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358"/>
        <w:gridCol w:w="8657"/>
      </w:tblGrid>
      <w:tr>
        <w:trPr>
          <w:trHeight w:val="692" w:hRule="atLeast"/>
        </w:trPr>
        <w:tc>
          <w:tcPr>
            <w:tcW w:w="2358" w:type="dxa"/>
            <w:tcBorders/>
            <w:shd w:color="auto" w:fill="FF3E3E"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CWE</w:t>
            </w:r>
          </w:p>
        </w:tc>
        <w:tc>
          <w:tcPr>
            <w:tcW w:w="8657" w:type="dxa"/>
            <w:tcBorders/>
            <w:shd w:color="auto" w:fill="A4B1CD" w:val="clear"/>
            <w:vAlign w:val="center"/>
          </w:tcPr>
          <w:p>
            <w:pPr>
              <w:pStyle w:val="Normal"/>
              <w:suppressAutoHyphens w:val="true"/>
              <w:spacing w:before="120" w:after="120"/>
              <w:jc w:val="both"/>
              <w:rPr>
                <w:rFonts w:ascii="Corbel" w:hAnsi="Corbel"/>
                <w:b/>
                <w:bCs/>
                <w:kern w:val="0"/>
                <w:sz w:val="22"/>
                <w:szCs w:val="22"/>
                <w:lang w:val="en-US" w:eastAsia="en-US" w:bidi="ar-SA"/>
              </w:rPr>
            </w:pPr>
            <w:r>
              <w:rPr>
                <w:b/>
                <w:bCs/>
                <w:kern w:val="0"/>
                <w:sz w:val="22"/>
                <w:szCs w:val="22"/>
                <w:lang w:val="en-US" w:eastAsia="en-US" w:bidi="ar-SA"/>
              </w:rPr>
              <w:t>CWE-290</w:t>
            </w:r>
          </w:p>
        </w:tc>
      </w:tr>
      <w:tr>
        <w:trPr>
          <w:trHeight w:val="743" w:hRule="atLeast"/>
        </w:trPr>
        <w:tc>
          <w:tcPr>
            <w:tcW w:w="2358" w:type="dxa"/>
            <w:tcBorders/>
            <w:shd w:color="auto" w:fill="FF3E3E"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CVSS</w:t>
            </w:r>
          </w:p>
        </w:tc>
        <w:tc>
          <w:tcPr>
            <w:tcW w:w="8657" w:type="dxa"/>
            <w:tcBorders/>
            <w:shd w:color="auto" w:fill="BFC8DC"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10.0</w:t>
            </w:r>
          </w:p>
        </w:tc>
      </w:tr>
      <w:tr>
        <w:trPr>
          <w:trHeight w:val="317" w:hRule="atLeast"/>
        </w:trPr>
        <w:tc>
          <w:tcPr>
            <w:tcW w:w="2358" w:type="dxa"/>
            <w:tcBorders/>
            <w:shd w:color="auto" w:fill="FF3E3E"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Description</w:t>
            </w:r>
          </w:p>
        </w:tc>
        <w:tc>
          <w:tcPr>
            <w:tcW w:w="8657" w:type="dxa"/>
            <w:tcBorders/>
            <w:shd w:color="auto" w:fill="A4B1CD"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The Netlogon service on the remote host is vulnerable to the zerologon vulnerability. An unauthenticated, remote attacker can exploit this, by spoofing a client credential to establish a secure channel to a domain controller using the Netlogon remote protocol (MS-NRPC). The attacker can then use this to change the computer's Active Directory (AD) password, and escalate privileges to domain admin.</w:t>
            </w:r>
          </w:p>
        </w:tc>
      </w:tr>
      <w:tr>
        <w:trPr>
          <w:trHeight w:val="79" w:hRule="atLeast"/>
        </w:trPr>
        <w:tc>
          <w:tcPr>
            <w:tcW w:w="2358" w:type="dxa"/>
            <w:tcBorders/>
            <w:shd w:color="auto" w:fill="FF3E3E"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Security Impact</w:t>
            </w:r>
          </w:p>
        </w:tc>
        <w:tc>
          <w:tcPr>
            <w:tcW w:w="8657" w:type="dxa"/>
            <w:tcBorders/>
            <w:shd w:color="auto" w:fill="BFC8DC"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This vulnerability allows attackers to compromise a domain and acquire domain administrators privileges from an unauthenticated user.</w:t>
            </w:r>
          </w:p>
        </w:tc>
      </w:tr>
      <w:tr>
        <w:trPr>
          <w:trHeight w:val="317" w:hRule="atLeast"/>
        </w:trPr>
        <w:tc>
          <w:tcPr>
            <w:tcW w:w="2358" w:type="dxa"/>
            <w:tcBorders/>
            <w:shd w:color="auto" w:fill="FF3E3E"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Affected Assets</w:t>
            </w:r>
          </w:p>
        </w:tc>
        <w:tc>
          <w:tcPr>
            <w:tcW w:w="8657" w:type="dxa"/>
            <w:tcBorders/>
            <w:shd w:color="auto" w:fill="A4B1CD" w:val="clear"/>
            <w:vAlign w:val="center"/>
          </w:tcPr>
          <w:p>
            <w:pPr>
              <w:pStyle w:val="Normal"/>
              <w:numPr>
                <w:ilvl w:val="0"/>
                <w:numId w:val="1"/>
              </w:numPr>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essos.local</w:t>
            </w:r>
          </w:p>
        </w:tc>
      </w:tr>
      <w:tr>
        <w:trPr>
          <w:trHeight w:val="79" w:hRule="atLeast"/>
        </w:trPr>
        <w:tc>
          <w:tcPr>
            <w:tcW w:w="2358" w:type="dxa"/>
            <w:tcBorders/>
            <w:shd w:color="auto" w:fill="FF3E3E"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Remediation</w:t>
            </w:r>
          </w:p>
        </w:tc>
        <w:tc>
          <w:tcPr>
            <w:tcW w:w="8657" w:type="dxa"/>
            <w:tcBorders/>
            <w:shd w:color="auto" w:fill="BFC8DC"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Apply the lates security patches to Windows domain controllers.</w:t>
            </w:r>
          </w:p>
        </w:tc>
      </w:tr>
      <w:tr>
        <w:trPr>
          <w:trHeight w:val="317" w:hRule="atLeast"/>
        </w:trPr>
        <w:tc>
          <w:tcPr>
            <w:tcW w:w="2358" w:type="dxa"/>
            <w:tcBorders/>
            <w:shd w:color="auto" w:fill="FF3E3E"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External References</w:t>
            </w:r>
          </w:p>
        </w:tc>
        <w:tc>
          <w:tcPr>
            <w:tcW w:w="8657" w:type="dxa"/>
            <w:tcBorders/>
            <w:shd w:color="auto" w:fill="A4B1CD"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https://attack.mitre.org/techniques/T1210/</w:t>
            </w:r>
          </w:p>
        </w:tc>
      </w:tr>
    </w:tbl>
    <w:p>
      <w:pPr>
        <w:pStyle w:val="Normal"/>
        <w:rPr/>
      </w:pPr>
      <w:r>
        <w:rPr/>
      </w:r>
      <w:r>
        <w:br w:type="page"/>
      </w:r>
    </w:p>
    <w:p>
      <w:pPr>
        <w:pStyle w:val="FindingTitle"/>
        <w:numPr>
          <w:ilvl w:val="0"/>
          <w:numId w:val="2"/>
        </w:numPr>
        <w:spacing w:before="0" w:after="120"/>
        <w:ind w:hanging="360" w:left="360"/>
        <w:rPr/>
      </w:pPr>
      <w:r>
        <w:rPr/>
        <w:t>AS-REP Roasting</w:t>
      </w:r>
    </w:p>
    <w:tbl>
      <w:tblPr>
        <w:tblStyle w:val="MediumFinding"/>
        <w:tblW w:w="1101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358"/>
        <w:gridCol w:w="8657"/>
      </w:tblGrid>
      <w:tr>
        <w:trPr>
          <w:trHeight w:val="692"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CWE</w:t>
            </w:r>
          </w:p>
        </w:tc>
        <w:tc>
          <w:tcPr>
            <w:tcW w:w="8657" w:type="dxa"/>
            <w:tcBorders/>
            <w:shd w:color="auto" w:fill="A4B1CD" w:val="clear"/>
            <w:vAlign w:val="center"/>
          </w:tcPr>
          <w:p>
            <w:pPr>
              <w:pStyle w:val="Normal"/>
              <w:suppressAutoHyphens w:val="true"/>
              <w:spacing w:before="120" w:after="120"/>
              <w:jc w:val="both"/>
              <w:rPr>
                <w:rFonts w:ascii="Corbel" w:hAnsi="Corbel"/>
                <w:b/>
                <w:bCs/>
                <w:kern w:val="0"/>
                <w:sz w:val="22"/>
                <w:szCs w:val="22"/>
                <w:lang w:val="en-US" w:eastAsia="en-US" w:bidi="ar-SA"/>
              </w:rPr>
            </w:pPr>
            <w:r>
              <w:rPr>
                <w:b/>
                <w:bCs/>
                <w:kern w:val="0"/>
                <w:sz w:val="22"/>
                <w:szCs w:val="22"/>
                <w:lang w:val="en-US" w:eastAsia="en-US" w:bidi="ar-SA"/>
              </w:rPr>
              <w:t>CWE-522</w:t>
            </w:r>
          </w:p>
        </w:tc>
      </w:tr>
      <w:tr>
        <w:trPr>
          <w:trHeight w:val="743"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CVSS</w:t>
            </w:r>
          </w:p>
        </w:tc>
        <w:tc>
          <w:tcPr>
            <w:tcW w:w="8657" w:type="dxa"/>
            <w:tcBorders/>
            <w:shd w:color="auto" w:fill="BFC8DC"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6.9</w:t>
            </w:r>
          </w:p>
        </w:tc>
      </w:tr>
      <w:tr>
        <w:trPr>
          <w:trHeight w:val="317"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Description</w:t>
            </w:r>
          </w:p>
        </w:tc>
        <w:tc>
          <w:tcPr>
            <w:tcW w:w="8657" w:type="dxa"/>
            <w:tcBorders/>
            <w:shd w:color="auto" w:fill="A4B1CD"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Preauthentication offers protection against offline Password Cracking. When enabled, a user requesting access to a resource initiates communication with the Domain Controller (DC) by sending an Authentication Server Request (AS-REQ) message with a timestamp that is encrypted with the hash of their password. If and only if the DC is able to successfully decrypt the timestamp with the hash of the user’s password, it will then send an Authentication Server Response (AS-REP) message that contains the Ticket Granting Ticket (TGT) to the user. Part of the AS-REP message is signed with the user’s password. For each account found without preauthentication, an adversary may send an AS-REQ message without the encrypted timestamp and receive an AS-REP message with TGT data which may be encrypted with an insecure algorithm such as RC4. The recovered encrypted data may be vulnerable to offline Password Cracking attacks similarly to Kerberoasting and expose plaintext credentials.</w:t>
            </w:r>
          </w:p>
        </w:tc>
      </w:tr>
      <w:tr>
        <w:trPr>
          <w:trHeight w:val="79"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Security Impact</w:t>
            </w:r>
          </w:p>
        </w:tc>
        <w:tc>
          <w:tcPr>
            <w:tcW w:w="8657" w:type="dxa"/>
            <w:tcBorders/>
            <w:shd w:color="auto" w:fill="BFC8DC"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A successful AS-REP Roasting attack along with cracked passwords could lead to lateral movement and privilege escalation in an AD environment. If a password is cracked for a Domain Administrator account or equivalent, an attacker could gain control over most, if not all, resources in the domain.</w:t>
            </w:r>
          </w:p>
        </w:tc>
      </w:tr>
      <w:tr>
        <w:trPr>
          <w:trHeight w:val="317"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Affected Assets</w:t>
            </w:r>
          </w:p>
        </w:tc>
        <w:tc>
          <w:tcPr>
            <w:tcW w:w="8657" w:type="dxa"/>
            <w:tcBorders/>
            <w:shd w:color="auto" w:fill="A4B1CD"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There are no Administrator users.</w:t>
            </w:r>
          </w:p>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General Users:</w:t>
            </w:r>
          </w:p>
          <w:p>
            <w:pPr>
              <w:pStyle w:val="Normal"/>
              <w:numPr>
                <w:ilvl w:val="0"/>
                <w:numId w:val="1"/>
              </w:numPr>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missandei</w:t>
            </w:r>
          </w:p>
        </w:tc>
      </w:tr>
      <w:tr>
        <w:trPr>
          <w:trHeight w:val="79"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Remediation</w:t>
            </w:r>
          </w:p>
        </w:tc>
        <w:tc>
          <w:tcPr>
            <w:tcW w:w="8657" w:type="dxa"/>
            <w:tcBorders/>
            <w:shd w:color="auto" w:fill="BFC8DC"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Kerberos preauthentication is enabled by default. Older protocols might not support preauthentication therefore it is possible to have this setting disabled. Make sure that all accounts have preauthentication whenever possible and if it is not possible the following steps will help mitigate the risk of this attack:</w:t>
            </w:r>
          </w:p>
          <w:p>
            <w:pPr>
              <w:pStyle w:val="Normal"/>
              <w:numPr>
                <w:ilvl w:val="0"/>
                <w:numId w:val="1"/>
              </w:numPr>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Enable AES Kerberos encryption instead of RC4</w:t>
            </w:r>
          </w:p>
          <w:p>
            <w:pPr>
              <w:pStyle w:val="Normal"/>
              <w:numPr>
                <w:ilvl w:val="0"/>
                <w:numId w:val="1"/>
              </w:numPr>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Use strong 25+ character passwords for these accounts and rotate them periodically</w:t>
            </w:r>
          </w:p>
        </w:tc>
      </w:tr>
      <w:tr>
        <w:trPr>
          <w:trHeight w:val="317" w:hRule="atLeast"/>
        </w:trPr>
        <w:tc>
          <w:tcPr>
            <w:tcW w:w="2358" w:type="dxa"/>
            <w:tcBorders/>
            <w:shd w:color="auto" w:fill="ED7D31" w:val="clear"/>
            <w:vAlign w:val="center"/>
          </w:tcPr>
          <w:p>
            <w:pPr>
              <w:pStyle w:val="Normal"/>
              <w:suppressAutoHyphens w:val="true"/>
              <w:spacing w:before="120" w:after="120"/>
              <w:jc w:val="both"/>
              <w:rPr>
                <w:rFonts w:ascii="Corbel" w:hAnsi="Corbel"/>
                <w:b/>
                <w:bCs/>
                <w:color w:themeColor="background1" w:val="FFFFFF"/>
                <w:kern w:val="0"/>
                <w:sz w:val="22"/>
                <w:szCs w:val="22"/>
                <w:lang w:val="en-US" w:eastAsia="en-US" w:bidi="ar-SA"/>
              </w:rPr>
            </w:pPr>
            <w:r>
              <w:rPr>
                <w:b/>
                <w:bCs/>
                <w:color w:themeColor="background1" w:val="FFFFFF"/>
                <w:kern w:val="0"/>
                <w:sz w:val="22"/>
                <w:szCs w:val="22"/>
                <w:lang w:val="en-US" w:eastAsia="en-US" w:bidi="ar-SA"/>
              </w:rPr>
              <w:t>External References</w:t>
            </w:r>
          </w:p>
        </w:tc>
        <w:tc>
          <w:tcPr>
            <w:tcW w:w="8657" w:type="dxa"/>
            <w:tcBorders/>
            <w:shd w:color="auto" w:fill="A4B1CD" w:val="clear"/>
            <w:vAlign w:val="center"/>
          </w:tcPr>
          <w:p>
            <w:pPr>
              <w:pStyle w:val="Normal"/>
              <w:suppressAutoHyphens w:val="true"/>
              <w:spacing w:before="120" w:after="120"/>
              <w:jc w:val="both"/>
              <w:rPr>
                <w:rFonts w:ascii="Corbel" w:hAnsi="Corbel"/>
                <w:kern w:val="0"/>
                <w:sz w:val="22"/>
                <w:szCs w:val="22"/>
                <w:lang w:val="en-US" w:eastAsia="en-US" w:bidi="ar-SA"/>
              </w:rPr>
            </w:pPr>
            <w:r>
              <w:rPr>
                <w:kern w:val="0"/>
                <w:sz w:val="22"/>
                <w:szCs w:val="22"/>
                <w:lang w:val="en-US" w:eastAsia="en-US" w:bidi="ar-SA"/>
              </w:rPr>
              <w:t>https://attack.mitre.org/techniques/T1558/004/</w:t>
            </w:r>
          </w:p>
        </w:tc>
      </w:tr>
    </w:tbl>
    <w:p>
      <w:pPr>
        <w:pStyle w:val="Normal"/>
        <w:spacing w:before="0" w:after="120"/>
        <w:rPr/>
      </w:pPr>
      <w:r>
        <w:rPr/>
      </w:r>
    </w:p>
    <w:sectPr>
      <w:headerReference w:type="even" r:id="rId3"/>
      <w:headerReference w:type="default" r:id="rId4"/>
      <w:headerReference w:type="first" r:id="rId5"/>
      <w:footerReference w:type="even" r:id="rId6"/>
      <w:footerReference w:type="default" r:id="rId7"/>
      <w:footerReference w:type="first" r:id="rId8"/>
      <w:type w:val="nextPage"/>
      <w:pgSz w:w="12240" w:h="15840"/>
      <w:pgMar w:left="720" w:right="720" w:gutter="0" w:header="288" w:top="1080" w:footer="288" w:bottom="72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orbel">
    <w:charset w:val="01"/>
    <w:family w:val="roman"/>
    <w:pitch w:val="variable"/>
  </w:font>
  <w:font w:name="Cambria">
    <w:charset w:val="01"/>
    <w:family w:val="roman"/>
    <w:pitch w:val="variable"/>
  </w:font>
  <w:font w:name="Calibri">
    <w:charset w:val="01"/>
    <w:family w:val="roman"/>
    <w:pitch w:val="variable"/>
  </w:font>
  <w:font w:name="Courier New">
    <w:charset w:val="01"/>
    <w:family w:val="roman"/>
    <w:pitch w:val="variable"/>
  </w:font>
  <w:font w:name="Consolas">
    <w:charset w:val="01"/>
    <w:family w:val="roman"/>
    <w:pitch w:val="variable"/>
  </w:font>
  <w:font w:name="Liberation Sans">
    <w:altName w:val="Arial"/>
    <w:charset w:val="01"/>
    <w:family w:val="roman"/>
    <w:pitch w:val="variable"/>
  </w:font>
  <w:font w:name="Times New Roman">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08105110"/>
    </w:sdtPr>
    <w:sdtContent>
      <w:p>
        <w:pPr>
          <w:pStyle w:val="Footer"/>
          <w:spacing w:before="0" w:after="120"/>
          <w:jc w:val="right"/>
          <w:rPr/>
        </w:pPr>
        <w:r>
          <w:rPr/>
          <w:fldChar w:fldCharType="begin"/>
        </w:r>
        <w:r>
          <w:rPr/>
          <w:instrText xml:space="preserve"> PAGE </w:instrText>
        </w:r>
        <w:r>
          <w:rPr/>
          <w:fldChar w:fldCharType="separate"/>
        </w:r>
        <w:r>
          <w:rPr/>
          <w:t>7</w:t>
        </w:r>
        <w:r>
          <w:rPr/>
          <w:fldChar w:fldCharType="end"/>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Text"/>
      <w:rPr/>
    </w:pPr>
    <w:r>
      <w:rPr/>
      <mc:AlternateContent>
        <mc:Choice Requires="wps">
          <w:drawing>
            <wp:anchor behindDoc="1" distT="9525" distB="9525" distL="635" distR="635" simplePos="0" locked="0" layoutInCell="1" allowOverlap="1" relativeHeight="2" wp14:anchorId="3577E291">
              <wp:simplePos x="0" y="0"/>
              <wp:positionH relativeFrom="column">
                <wp:posOffset>95885</wp:posOffset>
              </wp:positionH>
              <wp:positionV relativeFrom="paragraph">
                <wp:posOffset>24765</wp:posOffset>
              </wp:positionV>
              <wp:extent cx="6698615" cy="22225"/>
              <wp:effectExtent l="635" t="9525" r="635" b="9525"/>
              <wp:wrapNone/>
              <wp:docPr id="5" name="Straight Connector 2"/>
              <a:graphic xmlns:a="http://schemas.openxmlformats.org/drawingml/2006/main">
                <a:graphicData uri="http://schemas.microsoft.com/office/word/2010/wordprocessingShape">
                  <wps:wsp>
                    <wps:cNvSpPr/>
                    <wps:spPr>
                      <a:xfrm>
                        <a:off x="0" y="0"/>
                        <a:ext cx="6698520" cy="22320"/>
                      </a:xfrm>
                      <a:prstGeom prst="line">
                        <a:avLst/>
                      </a:prstGeom>
                      <a:ln>
                        <a:solidFill>
                          <a:srgbClr val="a4b1cd"/>
                        </a:solidFill>
                        <a:prstDash val="sysDot"/>
                      </a:ln>
                    </wps:spPr>
                    <wps:style>
                      <a:lnRef idx="3">
                        <a:schemeClr val="dk1"/>
                      </a:lnRef>
                      <a:fillRef idx="0">
                        <a:schemeClr val="dk1"/>
                      </a:fillRef>
                      <a:effectRef idx="2">
                        <a:schemeClr val="dk1"/>
                      </a:effectRef>
                      <a:fontRef idx="minor"/>
                    </wps:style>
                    <wps:bodyPr/>
                  </wps:wsp>
                </a:graphicData>
              </a:graphic>
            </wp:anchor>
          </w:drawing>
        </mc:Choice>
        <mc:Fallback>
          <w:pict>
            <v:line id="shape_0" from="7.55pt,1.95pt" to="534.95pt,3.65pt" ID="Straight Connector 2" stroked="t" o:allowincell="f" style="position:absolute" wp14:anchorId="3577E291">
              <v:stroke color="#a4b1cd" weight="19080" dashstyle="shortdot" joinstyle="miter" endcap="flat"/>
              <v:fill o:detectmouseclick="t" on="false"/>
              <w10:wrap type="none"/>
            </v:line>
          </w:pict>
        </mc:Fallback>
      </mc:AlternateContent>
    </w:r>
  </w:p>
  <w:p>
    <w:pPr>
      <w:pStyle w:val="FooterTex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120"/>
      <w:rPr/>
    </w:pPr>
    <w:r>
      <w:rPr/>
      <mc:AlternateContent>
        <mc:Choice Requires="wps">
          <w:drawing>
            <wp:anchor behindDoc="1" distT="0" distB="0" distL="635" distR="0" simplePos="0" locked="0" layoutInCell="0" allowOverlap="1" relativeHeight="9" wp14:anchorId="752E3F04">
              <wp:simplePos x="0" y="0"/>
              <wp:positionH relativeFrom="page">
                <wp:align>center</wp:align>
              </wp:positionH>
              <wp:positionV relativeFrom="page">
                <wp:align>top</wp:align>
              </wp:positionV>
              <wp:extent cx="1697355" cy="345440"/>
              <wp:effectExtent l="635" t="0" r="0" b="0"/>
              <wp:wrapNone/>
              <wp:docPr id="2" name="Cuadro de texto 4" descr="--- Información de uso interno ---"/>
              <a:graphic xmlns:a="http://schemas.openxmlformats.org/drawingml/2006/main">
                <a:graphicData uri="http://schemas.microsoft.com/office/word/2010/wordprocessingShape">
                  <wps:wsp>
                    <wps:cNvSpPr/>
                    <wps:spPr>
                      <a:xfrm>
                        <a:off x="0" y="0"/>
                        <a:ext cx="1697400" cy="345600"/>
                      </a:xfrm>
                      <a:prstGeom prst="rect">
                        <a:avLst/>
                      </a:prstGeom>
                      <a:noFill/>
                      <a:ln w="0">
                        <a:noFill/>
                      </a:ln>
                    </wps:spPr>
                    <wps:style>
                      <a:lnRef idx="0"/>
                      <a:fillRef idx="0"/>
                      <a:effectRef idx="0"/>
                      <a:fontRef idx="minor"/>
                    </wps:style>
                    <wps:txbx>
                      <w:txbxContent>
                        <w:p>
                          <w:pPr>
                            <w:pStyle w:val="FrameContents"/>
                            <w:spacing w:before="0" w:after="0"/>
                            <w:rPr>
                              <w:rFonts w:ascii="Calibri" w:hAnsi="Calibri"/>
                              <w:color w:val="000000"/>
                              <w:sz w:val="20"/>
                              <w:szCs w:val="20"/>
                            </w:rPr>
                          </w:pPr>
                          <w:r>
                            <w:rPr>
                              <w:rFonts w:ascii="Calibri" w:hAnsi="Calibri"/>
                              <w:color w:val="000000"/>
                              <w:sz w:val="20"/>
                              <w:szCs w:val="20"/>
                            </w:rPr>
                            <w:t>--- Información de uso interno ---</w:t>
                          </w:r>
                        </w:p>
                      </w:txbxContent>
                    </wps:txbx>
                    <wps:bodyPr lIns="0" rIns="0" tIns="190440" bIns="0" anchor="t">
                      <a:prstTxWarp prst="textNoShape"/>
                      <a:spAutoFit/>
                    </wps:bodyPr>
                  </wps:wsp>
                </a:graphicData>
              </a:graphic>
            </wp:anchor>
          </w:drawing>
        </mc:Choice>
        <mc:Fallback>
          <w:pict>
            <v:rect id="shape_0" ID="Cuadro de texto 4" path="m0,0l-2147483645,0l-2147483645,-2147483646l0,-2147483646xe" stroked="f" o:allowincell="f" style="position:absolute;margin-left:0pt;margin-top:0pt;width:133.6pt;height:27.15pt;mso-wrap-style:square;v-text-anchor:top;mso-position-horizontal:center;mso-position-horizontal-relative:page;mso-position-vertical:top;mso-position-vertical-relative:page" wp14:anchorId="752E3F04">
              <v:fill o:detectmouseclick="t" on="false"/>
              <v:stroke color="#3465a4" joinstyle="round" endcap="flat"/>
              <v:textbox>
                <w:txbxContent>
                  <w:p>
                    <w:pPr>
                      <w:pStyle w:val="FrameContents"/>
                      <w:spacing w:before="0" w:after="0"/>
                      <w:rPr>
                        <w:rFonts w:ascii="Calibri" w:hAnsi="Calibri"/>
                        <w:color w:val="000000"/>
                        <w:sz w:val="20"/>
                        <w:szCs w:val="20"/>
                      </w:rPr>
                    </w:pPr>
                    <w:r>
                      <w:rPr>
                        <w:rFonts w:ascii="Calibri" w:hAnsi="Calibri"/>
                        <w:color w:val="000000"/>
                        <w:sz w:val="20"/>
                        <w:szCs w:val="20"/>
                      </w:rPr>
                      <w:t>--- Información de uso interno ---</w:t>
                    </w:r>
                  </w:p>
                </w:txbxContent>
              </v:textbox>
              <w10:wrap type="non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vertAlign w:val="subscript"/>
        <w:lang w:val="es-ES"/>
      </w:rPr>
    </w:pPr>
    <w:r>
      <w:rPr>
        <w:vertAlign w:val="subscript"/>
        <w:lang w:val="es-ES"/>
      </w:rPr>
      <w:drawing>
        <wp:anchor behindDoc="1" distT="0" distB="0" distL="0" distR="0" simplePos="0" locked="0" layoutInCell="0" allowOverlap="1" relativeHeight="15">
          <wp:simplePos x="0" y="0"/>
          <wp:positionH relativeFrom="margin">
            <wp:posOffset>-114300</wp:posOffset>
          </wp:positionH>
          <wp:positionV relativeFrom="paragraph">
            <wp:posOffset>-182880</wp:posOffset>
          </wp:positionV>
          <wp:extent cx="868680" cy="868680"/>
          <wp:effectExtent l="0" t="0" r="0" b="0"/>
          <wp:wrapNone/>
          <wp:docPr id="3" name="Imagen 6"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Logotipo&#10;&#10;El contenido generado por IA puede ser incorrecto."/>
                  <pic:cNvPicPr>
                    <a:picLocks noChangeAspect="1" noChangeArrowheads="1"/>
                  </pic:cNvPicPr>
                </pic:nvPicPr>
                <pic:blipFill>
                  <a:blip r:embed="rId1"/>
                  <a:stretch>
                    <a:fillRect/>
                  </a:stretch>
                </pic:blipFill>
                <pic:spPr bwMode="auto">
                  <a:xfrm>
                    <a:off x="0" y="0"/>
                    <a:ext cx="868680" cy="868680"/>
                  </a:xfrm>
                  <a:prstGeom prst="rect">
                    <a:avLst/>
                  </a:prstGeom>
                </pic:spPr>
              </pic:pic>
            </a:graphicData>
          </a:graphic>
        </wp:anchor>
      </w:drawing>
    </w:r>
  </w:p>
  <w:p>
    <w:pPr>
      <w:pStyle w:val="Header"/>
      <w:rPr>
        <w:vertAlign w:val="subscript"/>
        <w:lang w:val="es-ES"/>
      </w:rPr>
    </w:pPr>
    <w:r>
      <w:rPr>
        <w:vertAlign w:val="subscript"/>
        <w:lang w:val="es-ES"/>
      </w:rPr>
    </w:r>
  </w:p>
  <w:p>
    <w:pPr>
      <w:pStyle w:val="Header"/>
      <w:spacing w:before="0" w:after="120"/>
      <w:rPr>
        <w:vertAlign w:val="subscript"/>
        <w:lang w:val="es-ES"/>
      </w:rPr>
    </w:pPr>
    <w:r>
      <w:rPr>
        <w:vertAlign w:val="subscript"/>
        <w:lang w:val="es-ES"/>
      </w:rPr>
      <mc:AlternateContent>
        <mc:Choice Requires="wps">
          <w:drawing>
            <wp:anchor behindDoc="1" distT="6985" distB="6985" distL="6350" distR="6985" simplePos="0" locked="0" layoutInCell="0" allowOverlap="1" relativeHeight="8" wp14:anchorId="2656A31F">
              <wp:simplePos x="0" y="0"/>
              <wp:positionH relativeFrom="page">
                <wp:posOffset>76200</wp:posOffset>
              </wp:positionH>
              <wp:positionV relativeFrom="paragraph">
                <wp:posOffset>193040</wp:posOffset>
              </wp:positionV>
              <wp:extent cx="7782560" cy="0"/>
              <wp:effectExtent l="6350" t="6985" r="6985" b="6985"/>
              <wp:wrapNone/>
              <wp:docPr id="4" name="Straight Connector 5"/>
              <a:graphic xmlns:a="http://schemas.openxmlformats.org/drawingml/2006/main">
                <a:graphicData uri="http://schemas.microsoft.com/office/word/2010/wordprocessingShape">
                  <wps:wsp>
                    <wps:cNvSpPr/>
                    <wps:spPr>
                      <a:xfrm>
                        <a:off x="0" y="0"/>
                        <a:ext cx="7782480" cy="0"/>
                      </a:xfrm>
                      <a:prstGeom prst="line">
                        <a:avLst/>
                      </a:prstGeom>
                      <a:ln cap="rnd">
                        <a:solidFill>
                          <a:srgbClr val="a4b1cd"/>
                        </a:solidFill>
                        <a:prstDash val="sysDot"/>
                      </a:ln>
                    </wps:spPr>
                    <wps:style>
                      <a:lnRef idx="2">
                        <a:schemeClr val="dk1"/>
                      </a:lnRef>
                      <a:fillRef idx="0">
                        <a:schemeClr val="dk1"/>
                      </a:fillRef>
                      <a:effectRef idx="1">
                        <a:schemeClr val="dk1"/>
                      </a:effectRef>
                      <a:fontRef idx="minor"/>
                    </wps:style>
                    <wps:bodyPr/>
                  </wps:wsp>
                </a:graphicData>
              </a:graphic>
            </wp:anchor>
          </w:drawing>
        </mc:Choice>
        <mc:Fallback>
          <w:pict>
            <v:line id="shape_0" from="6pt,15.2pt" to="618.75pt,15.2pt" ID="Straight Connector 5" stroked="t" o:allowincell="f" style="position:absolute;mso-position-horizontal-relative:page" wp14:anchorId="2656A31F">
              <v:stroke color="#a4b1cd" weight="12600" dashstyle="shortdot" joinstyle="miter" endcap="round"/>
              <v:fill o:detectmouseclick="t" on="false"/>
              <w10:wrap type="none"/>
            </v:line>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isplayBackgroundShape/>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orbel" w:hAnsi="Corbel" w:eastAsia="Corbel"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5694a"/>
    <w:pPr>
      <w:widowControl w:val="false"/>
      <w:suppressAutoHyphens w:val="true"/>
      <w:bidi w:val="0"/>
      <w:spacing w:lineRule="auto" w:line="240" w:before="0" w:after="120"/>
      <w:jc w:val="both"/>
    </w:pPr>
    <w:rPr>
      <w:rFonts w:ascii="Corbel" w:hAnsi="Corbel" w:eastAsia="Calibri" w:cs="Calibri" w:asciiTheme="minorHAnsi" w:hAnsiTheme="minorHAnsi"/>
      <w:color w:val="auto"/>
      <w:kern w:val="0"/>
      <w:sz w:val="22"/>
      <w:szCs w:val="22"/>
      <w:lang w:val="en-US" w:eastAsia="en-US" w:bidi="ar-SA"/>
    </w:rPr>
  </w:style>
  <w:style w:type="paragraph" w:styleId="Heading1">
    <w:name w:val="Heading 1"/>
    <w:basedOn w:val="Normal"/>
    <w:next w:val="Normal"/>
    <w:link w:val="Ttulo1Car"/>
    <w:uiPriority w:val="9"/>
    <w:qFormat/>
    <w:rsid w:val="002274c9"/>
    <w:pPr>
      <w:keepNext w:val="true"/>
      <w:keepLines/>
      <w:spacing w:before="120" w:after="240"/>
      <w:outlineLvl w:val="0"/>
    </w:pPr>
    <w:rPr>
      <w:rFonts w:eastAsia="" w:cs="" w:cstheme="majorBidi" w:eastAsiaTheme="majorEastAsia"/>
      <w:b/>
      <w:color w:val="00B0F0"/>
      <w:sz w:val="32"/>
      <w:szCs w:val="32"/>
    </w:rPr>
  </w:style>
  <w:style w:type="paragraph" w:styleId="Heading2">
    <w:name w:val="Heading 2"/>
    <w:basedOn w:val="Normal"/>
    <w:next w:val="Normal"/>
    <w:link w:val="Ttulo2Car"/>
    <w:uiPriority w:val="9"/>
    <w:semiHidden/>
    <w:unhideWhenUsed/>
    <w:qFormat/>
    <w:rsid w:val="00520b63"/>
    <w:pPr>
      <w:keepNext w:val="true"/>
      <w:keepLines/>
      <w:spacing w:before="40" w:after="120"/>
      <w:outlineLvl w:val="1"/>
    </w:pPr>
    <w:rPr>
      <w:rFonts w:ascii="Corbel" w:hAnsi="Corbel" w:eastAsia="" w:cs="" w:asciiTheme="majorHAnsi" w:cstheme="majorBidi" w:eastAsiaTheme="majorEastAsia" w:hAnsiTheme="majorHAnsi"/>
      <w:color w:themeColor="accent1" w:themeShade="bf" w:val="2E74B5"/>
      <w:sz w:val="26"/>
      <w:szCs w:val="26"/>
    </w:rPr>
  </w:style>
  <w:style w:type="paragraph" w:styleId="Heading3">
    <w:name w:val="Heading 3"/>
    <w:basedOn w:val="Normal"/>
    <w:next w:val="Normal"/>
    <w:link w:val="Ttulo3Car"/>
    <w:uiPriority w:val="9"/>
    <w:semiHidden/>
    <w:unhideWhenUsed/>
    <w:qFormat/>
    <w:rsid w:val="00520b63"/>
    <w:pPr>
      <w:keepNext w:val="true"/>
      <w:keepLines/>
      <w:spacing w:before="40" w:after="120"/>
      <w:outlineLvl w:val="2"/>
    </w:pPr>
    <w:rPr>
      <w:rFonts w:ascii="Corbel" w:hAnsi="Corbel" w:eastAsia="" w:cs="" w:asciiTheme="majorHAnsi" w:cstheme="majorBidi" w:eastAsiaTheme="majorEastAsia" w:hAnsiTheme="majorHAnsi"/>
      <w:color w:themeColor="accent1" w:themeShade="7f" w:val="1F4D78"/>
      <w:sz w:val="24"/>
      <w:szCs w:val="24"/>
    </w:rPr>
  </w:style>
  <w:style w:type="character" w:styleId="DefaultParagraphFont" w:default="1">
    <w:name w:val="Default Paragraph Font"/>
    <w:uiPriority w:val="1"/>
    <w:semiHidden/>
    <w:unhideWhenUsed/>
    <w:qFormat/>
    <w:rPr/>
  </w:style>
  <w:style w:type="character" w:styleId="TtuloCar" w:customStyle="1">
    <w:name w:val="Título Car"/>
    <w:basedOn w:val="DefaultParagraphFont"/>
    <w:link w:val="Title"/>
    <w:uiPriority w:val="10"/>
    <w:qFormat/>
    <w:rsid w:val="003d6d54"/>
    <w:rPr>
      <w:rFonts w:ascii="Cambria" w:hAnsi="Cambria" w:eastAsia="Times New Roman" w:cs="Times New Roman"/>
      <w:color w:val="17365D"/>
      <w:spacing w:val="5"/>
      <w:kern w:val="2"/>
      <w:sz w:val="52"/>
      <w:szCs w:val="52"/>
    </w:rPr>
  </w:style>
  <w:style w:type="character" w:styleId="EncabezadoCar" w:customStyle="1">
    <w:name w:val="Encabezado Car"/>
    <w:basedOn w:val="DefaultParagraphFont"/>
    <w:link w:val="Header"/>
    <w:uiPriority w:val="99"/>
    <w:qFormat/>
    <w:rsid w:val="003d6d54"/>
    <w:rPr>
      <w:rFonts w:ascii="Calibri" w:hAnsi="Calibri" w:eastAsia="Calibri" w:cs="Calibri"/>
    </w:rPr>
  </w:style>
  <w:style w:type="character" w:styleId="PiedepginaCar" w:customStyle="1">
    <w:name w:val="Pie de página Car"/>
    <w:basedOn w:val="DefaultParagraphFont"/>
    <w:link w:val="Footer"/>
    <w:uiPriority w:val="99"/>
    <w:qFormat/>
    <w:rsid w:val="003d6d54"/>
    <w:rPr>
      <w:rFonts w:ascii="Calibri" w:hAnsi="Calibri" w:eastAsia="Calibri" w:cs="Calibri"/>
    </w:rPr>
  </w:style>
  <w:style w:type="character" w:styleId="Hyperlink">
    <w:name w:val="Hyperlink"/>
    <w:basedOn w:val="DefaultParagraphFont"/>
    <w:uiPriority w:val="99"/>
    <w:unhideWhenUsed/>
    <w:rsid w:val="00351832"/>
    <w:rPr>
      <w:color w:themeColor="hyperlink" w:val="0563C1"/>
      <w:u w:val="single"/>
    </w:rPr>
  </w:style>
  <w:style w:type="character" w:styleId="Ttulo1Car" w:customStyle="1">
    <w:name w:val="Título 1 Car"/>
    <w:basedOn w:val="DefaultParagraphFont"/>
    <w:link w:val="Heading1"/>
    <w:uiPriority w:val="9"/>
    <w:qFormat/>
    <w:rsid w:val="002274c9"/>
    <w:rPr>
      <w:rFonts w:eastAsia="" w:cs="" w:cstheme="majorBidi" w:eastAsiaTheme="majorEastAsia"/>
      <w:b/>
      <w:color w:val="00B0F0"/>
      <w:sz w:val="32"/>
      <w:szCs w:val="32"/>
    </w:rPr>
  </w:style>
  <w:style w:type="character" w:styleId="ADScanHeading2Car" w:customStyle="1">
    <w:name w:val="ADScan Heading 2 Car"/>
    <w:basedOn w:val="DefaultParagraphFont"/>
    <w:link w:val="ADScanHeading2"/>
    <w:qFormat/>
    <w:rsid w:val="002274c9"/>
    <w:rPr>
      <w:rFonts w:eastAsia="Calibri" w:cs="Calibri"/>
      <w:b/>
      <w:color w:val="00B0F0"/>
      <w:sz w:val="28"/>
    </w:rPr>
  </w:style>
  <w:style w:type="character" w:styleId="Ttulo3Car" w:customStyle="1">
    <w:name w:val="Título 3 Car"/>
    <w:basedOn w:val="DefaultParagraphFont"/>
    <w:link w:val="Heading3"/>
    <w:uiPriority w:val="9"/>
    <w:semiHidden/>
    <w:qFormat/>
    <w:rsid w:val="00520b63"/>
    <w:rPr>
      <w:rFonts w:ascii="Corbel" w:hAnsi="Corbel" w:eastAsia="" w:cs="" w:asciiTheme="majorHAnsi" w:cstheme="majorBidi" w:eastAsiaTheme="majorEastAsia" w:hAnsiTheme="majorHAnsi"/>
      <w:color w:themeColor="accent1" w:themeShade="7f" w:val="1F4D78"/>
      <w:sz w:val="24"/>
      <w:szCs w:val="24"/>
    </w:rPr>
  </w:style>
  <w:style w:type="character" w:styleId="Ttulo2Car" w:customStyle="1">
    <w:name w:val="Título 2 Car"/>
    <w:basedOn w:val="DefaultParagraphFont"/>
    <w:link w:val="Heading2"/>
    <w:uiPriority w:val="9"/>
    <w:semiHidden/>
    <w:qFormat/>
    <w:rsid w:val="00520b63"/>
    <w:rPr>
      <w:rFonts w:ascii="Corbel" w:hAnsi="Corbel" w:eastAsia="" w:cs="" w:asciiTheme="majorHAnsi" w:cstheme="majorBidi" w:eastAsiaTheme="majorEastAsia" w:hAnsiTheme="majorHAnsi"/>
      <w:color w:themeColor="accent1" w:themeShade="bf" w:val="2E74B5"/>
      <w:sz w:val="26"/>
      <w:szCs w:val="26"/>
    </w:rPr>
  </w:style>
  <w:style w:type="character" w:styleId="LowSeverityDifficult" w:customStyle="1">
    <w:name w:val="Low Severity / Difficult"/>
    <w:uiPriority w:val="1"/>
    <w:qFormat/>
    <w:rsid w:val="0036389d"/>
    <w:rPr>
      <w:b/>
      <w:color w:val="0070C0"/>
    </w:rPr>
  </w:style>
  <w:style w:type="character" w:styleId="Emphasis">
    <w:name w:val="Emphasis"/>
    <w:basedOn w:val="DefaultParagraphFont"/>
    <w:uiPriority w:val="20"/>
    <w:qFormat/>
    <w:rsid w:val="007d1f5c"/>
    <w:rPr>
      <w:i/>
      <w:iCs/>
    </w:rPr>
  </w:style>
  <w:style w:type="character" w:styleId="HTMLCode">
    <w:name w:val="HTML Code"/>
    <w:basedOn w:val="DefaultParagraphFont"/>
    <w:uiPriority w:val="99"/>
    <w:semiHidden/>
    <w:unhideWhenUsed/>
    <w:qFormat/>
    <w:rsid w:val="00881df1"/>
    <w:rPr>
      <w:rFonts w:ascii="Courier New" w:hAnsi="Courier New" w:eastAsia="Times New Roman" w:cs="Courier New"/>
      <w:sz w:val="20"/>
      <w:szCs w:val="20"/>
    </w:rPr>
  </w:style>
  <w:style w:type="character" w:styleId="HTMLconformatoprevioCar" w:customStyle="1">
    <w:name w:val="HTML con formato previo Car"/>
    <w:basedOn w:val="DefaultParagraphFont"/>
    <w:link w:val="HTMLPreformatted"/>
    <w:uiPriority w:val="99"/>
    <w:semiHidden/>
    <w:qFormat/>
    <w:rsid w:val="00881df1"/>
    <w:rPr>
      <w:rFonts w:ascii="Consolas" w:hAnsi="Consolas" w:eastAsia="Calibri" w:cs="Calibri"/>
      <w:sz w:val="20"/>
      <w:szCs w:val="20"/>
    </w:rPr>
  </w:style>
  <w:style w:type="character" w:styleId="annotationreference">
    <w:name w:val="annotation reference"/>
    <w:basedOn w:val="DefaultParagraphFont"/>
    <w:uiPriority w:val="99"/>
    <w:semiHidden/>
    <w:unhideWhenUsed/>
    <w:qFormat/>
    <w:rsid w:val="00ca09dc"/>
    <w:rPr>
      <w:sz w:val="16"/>
      <w:szCs w:val="16"/>
    </w:rPr>
  </w:style>
  <w:style w:type="character" w:styleId="TextocomentarioCar" w:customStyle="1">
    <w:name w:val="Texto comentario Car"/>
    <w:basedOn w:val="DefaultParagraphFont"/>
    <w:link w:val="AnnotationText"/>
    <w:uiPriority w:val="99"/>
    <w:qFormat/>
    <w:rsid w:val="00ca09dc"/>
    <w:rPr>
      <w:rFonts w:ascii="Calibri" w:hAnsi="Calibri" w:eastAsia="Calibri" w:cs="Calibri"/>
      <w:sz w:val="20"/>
      <w:szCs w:val="20"/>
    </w:rPr>
  </w:style>
  <w:style w:type="character" w:styleId="AsuntodelcomentarioCar" w:customStyle="1">
    <w:name w:val="Asunto del comentario Car"/>
    <w:basedOn w:val="TextocomentarioCar"/>
    <w:link w:val="annotationsubject"/>
    <w:uiPriority w:val="99"/>
    <w:semiHidden/>
    <w:qFormat/>
    <w:rsid w:val="00ca09dc"/>
    <w:rPr>
      <w:rFonts w:ascii="Calibri" w:hAnsi="Calibri" w:eastAsia="Calibri" w:cs="Calibri"/>
      <w:b/>
      <w:bCs/>
      <w:sz w:val="20"/>
      <w:szCs w:val="20"/>
    </w:rPr>
  </w:style>
  <w:style w:type="character" w:styleId="Mencinsinresolver1" w:customStyle="1">
    <w:name w:val="Mención sin resolver1"/>
    <w:basedOn w:val="DefaultParagraphFont"/>
    <w:uiPriority w:val="99"/>
    <w:semiHidden/>
    <w:unhideWhenUsed/>
    <w:qFormat/>
    <w:rPr>
      <w:color w:val="605E5C"/>
      <w:shd w:fill="E1DFDD" w:val="clear"/>
    </w:rPr>
  </w:style>
  <w:style w:type="character" w:styleId="CoverHeadingChar" w:customStyle="1">
    <w:name w:val="Cover Heading Char"/>
    <w:basedOn w:val="DefaultParagraphFont"/>
    <w:link w:val="CoverHeading"/>
    <w:qFormat/>
    <w:rsid w:val="009f119a"/>
    <w:rPr>
      <w:rFonts w:ascii="Calibri" w:hAnsi="Calibri" w:eastAsia="Calibri" w:cs="Calibri"/>
      <w:b/>
      <w:sz w:val="56"/>
      <w:szCs w:val="56"/>
    </w:rPr>
  </w:style>
  <w:style w:type="character" w:styleId="CoverSubtitleChar" w:customStyle="1">
    <w:name w:val="Cover Subtitle Char"/>
    <w:basedOn w:val="TtuloCar"/>
    <w:link w:val="CoverSubtitle"/>
    <w:qFormat/>
    <w:rsid w:val="002274c9"/>
    <w:rPr>
      <w:rFonts w:ascii="Corbel" w:hAnsi="Corbel" w:eastAsia="Times New Roman" w:cs="Calibri" w:asciiTheme="majorHAnsi" w:hAnsiTheme="majorHAnsi"/>
      <w:color w:val="00B0F0"/>
      <w:spacing w:val="5"/>
      <w:kern w:val="2"/>
      <w:sz w:val="52"/>
      <w:szCs w:val="56"/>
      <w:lang w:bidi="en-US"/>
    </w:rPr>
  </w:style>
  <w:style w:type="character" w:styleId="CoverDateChar" w:customStyle="1">
    <w:name w:val="Cover Date Char"/>
    <w:basedOn w:val="CoverSubtitleChar"/>
    <w:link w:val="CoverDate"/>
    <w:qFormat/>
    <w:rsid w:val="00525cda"/>
    <w:rPr>
      <w:rFonts w:ascii="Corbel" w:hAnsi="Corbel" w:eastAsia="Times New Roman" w:cs="Calibri" w:asciiTheme="majorHAnsi" w:hAnsiTheme="majorHAnsi"/>
      <w:bCs/>
      <w:color w:val="A4B1CD"/>
      <w:spacing w:val="5"/>
      <w:kern w:val="2"/>
      <w:sz w:val="32"/>
      <w:szCs w:val="32"/>
      <w:lang w:bidi="en-US"/>
    </w:rPr>
  </w:style>
  <w:style w:type="character" w:styleId="CoverVersionChar" w:customStyle="1">
    <w:name w:val="Cover Version Char"/>
    <w:basedOn w:val="CoverDateChar"/>
    <w:link w:val="CoverVersion"/>
    <w:qFormat/>
    <w:rsid w:val="00e5694a"/>
    <w:rPr>
      <w:rFonts w:ascii="Corbel" w:hAnsi="Corbel" w:eastAsia="Times New Roman" w:cs="Calibri" w:asciiTheme="majorHAnsi" w:hAnsiTheme="majorHAnsi"/>
      <w:bCs/>
      <w:i/>
      <w:color w:val="A4B1CD"/>
      <w:spacing w:val="5"/>
      <w:kern w:val="2"/>
      <w:sz w:val="32"/>
      <w:szCs w:val="32"/>
      <w:lang w:bidi="en-US"/>
    </w:rPr>
  </w:style>
  <w:style w:type="character" w:styleId="FooterTextChar" w:customStyle="1">
    <w:name w:val="Footer Text Char"/>
    <w:basedOn w:val="DefaultParagraphFont"/>
    <w:link w:val="FooterText"/>
    <w:qFormat/>
    <w:rsid w:val="00e5694a"/>
    <w:rPr>
      <w:rFonts w:eastAsia="Calibri" w:cs="Calibri"/>
      <w:b/>
      <w:color w:val="A4B1CD"/>
      <w:sz w:val="18"/>
      <w:szCs w:val="18"/>
    </w:rPr>
  </w:style>
  <w:style w:type="character" w:styleId="ADScanHeading3Car" w:customStyle="1">
    <w:name w:val="ADScan Heading 3 Car"/>
    <w:basedOn w:val="ADScanHeading2Car"/>
    <w:link w:val="ADScanHeading3"/>
    <w:qFormat/>
    <w:rsid w:val="002274c9"/>
    <w:rPr>
      <w:rFonts w:eastAsia="Calibri" w:cs="Calibri"/>
      <w:b/>
      <w:color w:val="00B0F0"/>
      <w:sz w:val="24"/>
    </w:rPr>
  </w:style>
  <w:style w:type="character" w:styleId="ImageFormatChar" w:customStyle="1">
    <w:name w:val="Image Format Char"/>
    <w:basedOn w:val="DefaultParagraphFont"/>
    <w:link w:val="ImageFormat"/>
    <w:qFormat/>
    <w:rsid w:val="00ca74e4"/>
    <w:rPr>
      <w:rFonts w:eastAsia="Calibri" w:cs="Calibri"/>
    </w:rPr>
  </w:style>
  <w:style w:type="character" w:styleId="FindingTitleChar" w:customStyle="1">
    <w:name w:val="Finding Title Char"/>
    <w:basedOn w:val="DefaultParagraphFont"/>
    <w:link w:val="FindingTitle"/>
    <w:qFormat/>
    <w:rsid w:val="00465543"/>
    <w:rPr>
      <w:rFonts w:eastAsia="Calibri" w:cs="Calibri"/>
      <w:b/>
      <w:color w:themeColor="background1" w:val="FFFFFF"/>
      <w:sz w:val="28"/>
    </w:rPr>
  </w:style>
  <w:style w:type="character" w:styleId="EvidencePreambleChar" w:customStyle="1">
    <w:name w:val="Evidence Preamble Char"/>
    <w:basedOn w:val="DefaultParagraphFont"/>
    <w:link w:val="EvidencePreamble"/>
    <w:qFormat/>
    <w:rsid w:val="005246af"/>
    <w:rPr>
      <w:rFonts w:eastAsia="Calibri" w:cs="Calibri"/>
      <w:b/>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next w:val="Normal"/>
    <w:uiPriority w:val="35"/>
    <w:unhideWhenUsed/>
    <w:qFormat/>
    <w:rsid w:val="00c32c65"/>
    <w:pPr>
      <w:spacing w:before="0" w:after="200"/>
    </w:pPr>
    <w:rPr>
      <w:i/>
      <w:iCs/>
      <w:color w:themeColor="background1" w:val="FFFFFF"/>
      <w:sz w:val="18"/>
      <w:szCs w:val="18"/>
    </w:rPr>
  </w:style>
  <w:style w:type="paragraph" w:styleId="Index">
    <w:name w:val="Index"/>
    <w:basedOn w:val="Normal"/>
    <w:qFormat/>
    <w:pPr>
      <w:suppressLineNumbers/>
    </w:pPr>
    <w:rPr>
      <w:rFonts w:cs="Noto Sans Devanagari"/>
    </w:rPr>
  </w:style>
  <w:style w:type="paragraph" w:styleId="Title">
    <w:name w:val="Title"/>
    <w:basedOn w:val="Normal"/>
    <w:next w:val="Normal"/>
    <w:link w:val="TtuloCar"/>
    <w:uiPriority w:val="10"/>
    <w:qFormat/>
    <w:rsid w:val="003d6d54"/>
    <w:pPr>
      <w:widowControl/>
      <w:pBdr>
        <w:bottom w:val="single" w:sz="8" w:space="4" w:color="4F81BD"/>
      </w:pBdr>
      <w:spacing w:before="0" w:after="300"/>
      <w:contextualSpacing/>
    </w:pPr>
    <w:rPr>
      <w:rFonts w:ascii="Cambria" w:hAnsi="Cambria" w:eastAsia="Times New Roman" w:cs="Times New Roman"/>
      <w:color w:val="17365D"/>
      <w:spacing w:val="5"/>
      <w:kern w:val="2"/>
      <w:sz w:val="52"/>
      <w:szCs w:val="52"/>
    </w:rPr>
  </w:style>
  <w:style w:type="paragraph" w:styleId="HeaderandFooter">
    <w:name w:val="Header and Footer"/>
    <w:basedOn w:val="Normal"/>
    <w:qFormat/>
    <w:pPr/>
    <w:rPr/>
  </w:style>
  <w:style w:type="paragraph" w:styleId="Header">
    <w:name w:val="Header"/>
    <w:basedOn w:val="Normal"/>
    <w:link w:val="EncabezadoCar"/>
    <w:uiPriority w:val="99"/>
    <w:unhideWhenUsed/>
    <w:rsid w:val="003d6d54"/>
    <w:pPr>
      <w:tabs>
        <w:tab w:val="clear" w:pos="720"/>
        <w:tab w:val="center" w:pos="4680" w:leader="none"/>
        <w:tab w:val="right" w:pos="9360" w:leader="none"/>
      </w:tabs>
    </w:pPr>
    <w:rPr/>
  </w:style>
  <w:style w:type="paragraph" w:styleId="Footer">
    <w:name w:val="Footer"/>
    <w:basedOn w:val="Normal"/>
    <w:link w:val="PiedepginaCar"/>
    <w:uiPriority w:val="99"/>
    <w:unhideWhenUsed/>
    <w:rsid w:val="003d6d54"/>
    <w:pPr>
      <w:tabs>
        <w:tab w:val="clear" w:pos="720"/>
        <w:tab w:val="center" w:pos="4680" w:leader="none"/>
        <w:tab w:val="right" w:pos="9360" w:leader="none"/>
      </w:tabs>
    </w:pPr>
    <w:rPr/>
  </w:style>
  <w:style w:type="paragraph" w:styleId="ADScanHeading2" w:customStyle="1">
    <w:name w:val="ADScan Heading 2"/>
    <w:basedOn w:val="Normal"/>
    <w:link w:val="ADScanHeading2Car"/>
    <w:qFormat/>
    <w:rsid w:val="002274c9"/>
    <w:pPr>
      <w:spacing w:before="120" w:after="120"/>
      <w:contextualSpacing/>
    </w:pPr>
    <w:rPr>
      <w:b/>
      <w:color w:val="00B0F0"/>
      <w:sz w:val="28"/>
    </w:rPr>
  </w:style>
  <w:style w:type="paragraph" w:styleId="ListParagraph">
    <w:name w:val="List Paragraph"/>
    <w:basedOn w:val="Normal"/>
    <w:uiPriority w:val="34"/>
    <w:qFormat/>
    <w:rsid w:val="00704565"/>
    <w:pPr>
      <w:spacing w:before="0" w:after="120"/>
      <w:ind w:left="720"/>
      <w:contextualSpacing/>
    </w:pPr>
    <w:rPr/>
  </w:style>
  <w:style w:type="paragraph" w:styleId="IndexHeading">
    <w:name w:val="Index Heading"/>
    <w:basedOn w:val="Heading"/>
    <w:pPr/>
    <w:rPr/>
  </w:style>
  <w:style w:type="paragraph" w:styleId="TOCHeading">
    <w:name w:val="TOC Heading"/>
    <w:basedOn w:val="Heading1"/>
    <w:next w:val="Normal"/>
    <w:uiPriority w:val="39"/>
    <w:unhideWhenUsed/>
    <w:qFormat/>
    <w:rsid w:val="004539c5"/>
    <w:pPr>
      <w:widowControl/>
      <w:spacing w:lineRule="auto" w:line="259"/>
      <w:outlineLvl w:val="9"/>
    </w:pPr>
    <w:rPr>
      <w:rFonts w:ascii="Corbel" w:hAnsi="Corbel" w:asciiTheme="majorHAnsi" w:hAnsiTheme="majorHAnsi"/>
    </w:rPr>
  </w:style>
  <w:style w:type="paragraph" w:styleId="TOC1">
    <w:name w:val="TOC 1"/>
    <w:basedOn w:val="Normal"/>
    <w:next w:val="Normal"/>
    <w:autoRedefine/>
    <w:uiPriority w:val="39"/>
    <w:unhideWhenUsed/>
    <w:rsid w:val="00ae6b03"/>
    <w:pPr>
      <w:spacing w:before="120" w:after="120"/>
    </w:pPr>
    <w:rPr>
      <w:rFonts w:cs="Corbel" w:cstheme="minorHAnsi"/>
      <w:b/>
      <w:bCs/>
      <w:caps/>
      <w:sz w:val="20"/>
      <w:szCs w:val="20"/>
    </w:rPr>
  </w:style>
  <w:style w:type="paragraph" w:styleId="TOC2">
    <w:name w:val="TOC 2"/>
    <w:basedOn w:val="Normal"/>
    <w:next w:val="Normal"/>
    <w:autoRedefine/>
    <w:uiPriority w:val="39"/>
    <w:unhideWhenUsed/>
    <w:rsid w:val="00fa3b59"/>
    <w:pPr>
      <w:tabs>
        <w:tab w:val="clear" w:pos="720"/>
        <w:tab w:val="right" w:pos="10790" w:leader="dot"/>
      </w:tabs>
      <w:ind w:left="220"/>
    </w:pPr>
    <w:rPr>
      <w:rFonts w:cs="Corbel" w:cstheme="minorHAnsi"/>
      <w:smallCaps/>
      <w:color w:val="A4B1CD"/>
      <w:sz w:val="20"/>
      <w:szCs w:val="20"/>
    </w:rPr>
  </w:style>
  <w:style w:type="paragraph" w:styleId="TOC3">
    <w:name w:val="TOC 3"/>
    <w:basedOn w:val="Normal"/>
    <w:next w:val="Normal"/>
    <w:autoRedefine/>
    <w:uiPriority w:val="39"/>
    <w:unhideWhenUsed/>
    <w:rsid w:val="00520b63"/>
    <w:pPr>
      <w:ind w:left="440"/>
    </w:pPr>
    <w:rPr>
      <w:rFonts w:cs="Corbel" w:cstheme="minorHAnsi"/>
      <w:i/>
      <w:iCs/>
      <w:sz w:val="20"/>
      <w:szCs w:val="20"/>
    </w:rPr>
  </w:style>
  <w:style w:type="paragraph" w:styleId="TOC4">
    <w:name w:val="TOC 4"/>
    <w:basedOn w:val="Normal"/>
    <w:next w:val="Normal"/>
    <w:autoRedefine/>
    <w:uiPriority w:val="39"/>
    <w:unhideWhenUsed/>
    <w:rsid w:val="00520b63"/>
    <w:pPr>
      <w:ind w:left="660"/>
    </w:pPr>
    <w:rPr>
      <w:rFonts w:cs="Corbel" w:cstheme="minorHAnsi"/>
      <w:sz w:val="18"/>
      <w:szCs w:val="18"/>
    </w:rPr>
  </w:style>
  <w:style w:type="paragraph" w:styleId="TOC5">
    <w:name w:val="TOC 5"/>
    <w:basedOn w:val="Normal"/>
    <w:next w:val="Normal"/>
    <w:autoRedefine/>
    <w:uiPriority w:val="39"/>
    <w:unhideWhenUsed/>
    <w:rsid w:val="00520b63"/>
    <w:pPr>
      <w:ind w:left="880"/>
    </w:pPr>
    <w:rPr>
      <w:rFonts w:cs="Corbel" w:cstheme="minorHAnsi"/>
      <w:sz w:val="18"/>
      <w:szCs w:val="18"/>
    </w:rPr>
  </w:style>
  <w:style w:type="paragraph" w:styleId="TOC6">
    <w:name w:val="TOC 6"/>
    <w:basedOn w:val="Normal"/>
    <w:next w:val="Normal"/>
    <w:autoRedefine/>
    <w:uiPriority w:val="39"/>
    <w:unhideWhenUsed/>
    <w:rsid w:val="00520b63"/>
    <w:pPr>
      <w:ind w:left="1100"/>
    </w:pPr>
    <w:rPr>
      <w:rFonts w:cs="Corbel" w:cstheme="minorHAnsi"/>
      <w:sz w:val="18"/>
      <w:szCs w:val="18"/>
    </w:rPr>
  </w:style>
  <w:style w:type="paragraph" w:styleId="TOC7">
    <w:name w:val="TOC 7"/>
    <w:basedOn w:val="Normal"/>
    <w:next w:val="Normal"/>
    <w:autoRedefine/>
    <w:uiPriority w:val="39"/>
    <w:unhideWhenUsed/>
    <w:rsid w:val="00520b63"/>
    <w:pPr>
      <w:ind w:left="1320"/>
    </w:pPr>
    <w:rPr>
      <w:rFonts w:cs="Corbel" w:cstheme="minorHAnsi"/>
      <w:sz w:val="18"/>
      <w:szCs w:val="18"/>
    </w:rPr>
  </w:style>
  <w:style w:type="paragraph" w:styleId="TOC8">
    <w:name w:val="TOC 8"/>
    <w:basedOn w:val="Normal"/>
    <w:next w:val="Normal"/>
    <w:autoRedefine/>
    <w:uiPriority w:val="39"/>
    <w:unhideWhenUsed/>
    <w:rsid w:val="00520b63"/>
    <w:pPr>
      <w:ind w:left="1540"/>
    </w:pPr>
    <w:rPr>
      <w:rFonts w:cs="Corbel" w:cstheme="minorHAnsi"/>
      <w:sz w:val="18"/>
      <w:szCs w:val="18"/>
    </w:rPr>
  </w:style>
  <w:style w:type="paragraph" w:styleId="TOC9">
    <w:name w:val="TOC 9"/>
    <w:basedOn w:val="Normal"/>
    <w:next w:val="Normal"/>
    <w:autoRedefine/>
    <w:uiPriority w:val="39"/>
    <w:unhideWhenUsed/>
    <w:rsid w:val="00520b63"/>
    <w:pPr>
      <w:ind w:left="1760"/>
    </w:pPr>
    <w:rPr>
      <w:rFonts w:cs="Corbel" w:cstheme="minorHAnsi"/>
      <w:sz w:val="18"/>
      <w:szCs w:val="18"/>
    </w:rPr>
  </w:style>
  <w:style w:type="paragraph" w:styleId="NormalWeb">
    <w:name w:val="Normal (Web)"/>
    <w:basedOn w:val="Normal"/>
    <w:uiPriority w:val="99"/>
    <w:semiHidden/>
    <w:unhideWhenUsed/>
    <w:qFormat/>
    <w:rsid w:val="007d1f5c"/>
    <w:pPr>
      <w:widowControl/>
      <w:spacing w:beforeAutospacing="1" w:afterAutospacing="1"/>
    </w:pPr>
    <w:rPr>
      <w:rFonts w:ascii="Times New Roman" w:hAnsi="Times New Roman" w:eastAsia="Times New Roman" w:cs="Times New Roman"/>
      <w:sz w:val="24"/>
      <w:szCs w:val="24"/>
    </w:rPr>
  </w:style>
  <w:style w:type="paragraph" w:styleId="HTMLPreformatted">
    <w:name w:val="HTML Preformatted"/>
    <w:basedOn w:val="Normal"/>
    <w:link w:val="HTMLconformatoprevioCar"/>
    <w:uiPriority w:val="99"/>
    <w:semiHidden/>
    <w:unhideWhenUsed/>
    <w:qFormat/>
    <w:rsid w:val="00881df1"/>
    <w:pPr/>
    <w:rPr>
      <w:rFonts w:ascii="Consolas" w:hAnsi="Consolas"/>
      <w:sz w:val="20"/>
      <w:szCs w:val="20"/>
    </w:rPr>
  </w:style>
  <w:style w:type="paragraph" w:styleId="Revision">
    <w:name w:val="Revision"/>
    <w:uiPriority w:val="99"/>
    <w:semiHidden/>
    <w:qFormat/>
    <w:rsid w:val="00ca09dc"/>
    <w:pPr>
      <w:widowControl/>
      <w:suppressAutoHyphens w:val="true"/>
      <w:bidi w:val="0"/>
      <w:spacing w:lineRule="auto" w:line="240" w:before="0" w:after="0"/>
      <w:jc w:val="left"/>
    </w:pPr>
    <w:rPr>
      <w:rFonts w:ascii="Calibri" w:hAnsi="Calibri" w:eastAsia="Calibri" w:cs="Calibri"/>
      <w:color w:val="auto"/>
      <w:kern w:val="0"/>
      <w:sz w:val="22"/>
      <w:szCs w:val="22"/>
      <w:lang w:val="en-US" w:eastAsia="en-US" w:bidi="ar-SA"/>
    </w:rPr>
  </w:style>
  <w:style w:type="paragraph" w:styleId="AnnotationText">
    <w:name w:val="Annotation Text"/>
    <w:basedOn w:val="Normal"/>
    <w:link w:val="TextocomentarioCar"/>
    <w:uiPriority w:val="99"/>
    <w:unhideWhenUsed/>
    <w:rsid w:val="00ca09dc"/>
    <w:pPr/>
    <w:rPr>
      <w:sz w:val="20"/>
      <w:szCs w:val="20"/>
    </w:rPr>
  </w:style>
  <w:style w:type="paragraph" w:styleId="annotationsubject">
    <w:name w:val="annotation subject"/>
    <w:basedOn w:val="AnnotationText"/>
    <w:next w:val="AnnotationText"/>
    <w:link w:val="AsuntodelcomentarioCar"/>
    <w:uiPriority w:val="99"/>
    <w:semiHidden/>
    <w:unhideWhenUsed/>
    <w:qFormat/>
    <w:rsid w:val="00ca09dc"/>
    <w:pPr/>
    <w:rPr>
      <w:b/>
      <w:bCs/>
    </w:rPr>
  </w:style>
  <w:style w:type="paragraph" w:styleId="CoverHeading" w:customStyle="1">
    <w:name w:val="Cover Heading"/>
    <w:basedOn w:val="Normal"/>
    <w:link w:val="CoverHeadingChar"/>
    <w:qFormat/>
    <w:rsid w:val="009f119a"/>
    <w:pPr>
      <w:jc w:val="center"/>
    </w:pPr>
    <w:rPr>
      <w:b/>
      <w:sz w:val="56"/>
      <w:szCs w:val="56"/>
    </w:rPr>
  </w:style>
  <w:style w:type="paragraph" w:styleId="CoverSubtitle" w:customStyle="1">
    <w:name w:val="Cover Subtitle"/>
    <w:basedOn w:val="CoverHeading"/>
    <w:link w:val="CoverSubtitleChar"/>
    <w:qFormat/>
    <w:rsid w:val="002274c9"/>
    <w:pPr>
      <w:spacing w:before="120" w:after="0"/>
      <w:jc w:val="right"/>
    </w:pPr>
    <w:rPr>
      <w:rFonts w:ascii="Corbel" w:hAnsi="Corbel" w:eastAsia="Corbel" w:asciiTheme="majorHAnsi" w:eastAsiaTheme="minorHAnsi" w:hAnsiTheme="majorHAnsi"/>
      <w:b w:val="false"/>
      <w:color w:val="00B0F0"/>
      <w:sz w:val="52"/>
      <w:lang w:bidi="en-US"/>
    </w:rPr>
  </w:style>
  <w:style w:type="paragraph" w:styleId="CoverDate" w:customStyle="1">
    <w:name w:val="Cover Date"/>
    <w:basedOn w:val="CoverSubtitle"/>
    <w:link w:val="CoverDateChar"/>
    <w:qFormat/>
    <w:rsid w:val="00525cda"/>
    <w:pPr/>
    <w:rPr>
      <w:bCs/>
      <w:color w:val="A4B1CD"/>
      <w:sz w:val="32"/>
      <w:szCs w:val="32"/>
    </w:rPr>
  </w:style>
  <w:style w:type="paragraph" w:styleId="CoverVersion" w:customStyle="1">
    <w:name w:val="Cover Version"/>
    <w:basedOn w:val="CoverDate"/>
    <w:link w:val="CoverVersionChar"/>
    <w:qFormat/>
    <w:rsid w:val="00e5694a"/>
    <w:pPr/>
    <w:rPr>
      <w:i/>
      <w:sz w:val="22"/>
      <w:szCs w:val="22"/>
    </w:rPr>
  </w:style>
  <w:style w:type="paragraph" w:styleId="FooterText" w:customStyle="1">
    <w:name w:val="Footer Text"/>
    <w:basedOn w:val="Normal"/>
    <w:link w:val="FooterTextChar"/>
    <w:qFormat/>
    <w:rsid w:val="00e5694a"/>
    <w:pPr>
      <w:spacing w:before="0" w:after="0"/>
      <w:jc w:val="center"/>
    </w:pPr>
    <w:rPr>
      <w:b/>
      <w:color w:val="A4B1CD"/>
      <w:sz w:val="18"/>
      <w:szCs w:val="18"/>
    </w:rPr>
  </w:style>
  <w:style w:type="paragraph" w:styleId="ADScanHeading3" w:customStyle="1">
    <w:name w:val="ADScan Heading 3"/>
    <w:basedOn w:val="ADScanHeading2"/>
    <w:next w:val="Normal"/>
    <w:link w:val="ADScanHeading3Car"/>
    <w:qFormat/>
    <w:rsid w:val="002274c9"/>
    <w:pPr>
      <w:spacing w:before="240" w:after="120"/>
      <w:contextualSpacing/>
    </w:pPr>
    <w:rPr>
      <w:sz w:val="24"/>
    </w:rPr>
  </w:style>
  <w:style w:type="paragraph" w:styleId="ImageFormat" w:customStyle="1">
    <w:name w:val="Image Format"/>
    <w:basedOn w:val="Normal"/>
    <w:next w:val="Normal"/>
    <w:link w:val="ImageFormatChar"/>
    <w:qFormat/>
    <w:rsid w:val="00ca74e4"/>
    <w:pPr>
      <w:keepNext w:val="true"/>
      <w:widowControl/>
      <w:spacing w:before="0" w:after="0"/>
    </w:pPr>
    <w:rPr/>
  </w:style>
  <w:style w:type="paragraph" w:styleId="FindingTitle" w:customStyle="1">
    <w:name w:val="Finding Title"/>
    <w:basedOn w:val="Normal"/>
    <w:link w:val="FindingTitleChar"/>
    <w:qFormat/>
    <w:rsid w:val="00465543"/>
    <w:pPr>
      <w:numPr>
        <w:ilvl w:val="0"/>
        <w:numId w:val="2"/>
      </w:numPr>
      <w:ind w:left="360"/>
    </w:pPr>
    <w:rPr>
      <w:b/>
      <w:color w:themeColor="background1" w:val="FFFFFF"/>
      <w:sz w:val="28"/>
      <w:shd w:fill="141D2B" w:val="clear"/>
    </w:rPr>
  </w:style>
  <w:style w:type="paragraph" w:styleId="EvidencePreamble" w:customStyle="1">
    <w:name w:val="Evidence Preamble"/>
    <w:basedOn w:val="Normal"/>
    <w:link w:val="EvidencePreambleChar"/>
    <w:qFormat/>
    <w:rsid w:val="005246af"/>
    <w:pPr>
      <w:widowControl/>
      <w:spacing w:before="240" w:after="120"/>
    </w:pPr>
    <w:rPr>
      <w:b/>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39"/>
    <w:rsid w:val="00e970cf"/>
    <w:pPr>
      <w:spacing w:before="120" w:after="120" w:line="240" w:lineRule="auto"/>
    </w:pPr>
    <w:rPr>
      <w:sz w:val="20"/>
    </w:rPr>
    <w:tblPr>
      <w:tblStyleRowBandSize w:val="1"/>
    </w:tblPr>
    <w:tcPr>
      <w:vAlign w:val="center"/>
    </w:tcPr>
    <w:tblStylePr w:type="firstRow">
      <w:rPr>
        <w:b/>
      </w:rPr>
      <w:tblPr/>
      <w:tcPr>
        <w:shd w:val="clear" w:color="auto" w:fill="00B0F0"/>
      </w:tcPr>
    </w:tblStylePr>
    <w:tblStylePr w:type="band1Horz">
      <w:tblPr/>
      <w:tcPr>
        <w:shd w:val="clear" w:color="auto" w:fill="A4B1CD"/>
      </w:tcPr>
    </w:tblStylePr>
    <w:tblStylePr w:type="band2Horz">
      <w:tblPr/>
      <w:tcPr>
        <w:shd w:val="clear" w:color="auto" w:fill="BFC8DC"/>
      </w:tcPr>
    </w:tblStylePr>
  </w:style>
  <w:style w:type="table" w:styleId="Tablaconcuadrcula5oscura-nfasis6">
    <w:name w:val="Grid Table 5 Dark Accent 6"/>
    <w:basedOn w:val="Tablanormal"/>
    <w:uiPriority w:val="50"/>
    <w:rsid w:val="00351832"/>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EFD9" w:themeFill="accent6" w:themeFillTint="33"/>
    </w:tcPr>
    <w:tblStylePr w:type="firstRow">
      <w:rPr>
        <w:b/>
        <w:bCs/>
        <w:color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4-nfasis6">
    <w:name w:val="Grid Table 4 Accent 6"/>
    <w:basedOn w:val="Tablanormal"/>
    <w:uiPriority w:val="49"/>
    <w:rsid w:val="00351832"/>
    <w:pPr>
      <w:spacing w:after="0" w:line="240" w:lineRule="auto"/>
    </w:p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Pr/>
    </w:tblStylePr>
    <w:tblStylePr w:type="lastCol">
      <w:rPr>
        <w:b/>
        <w:bCs/>
      </w:rPr>
      <w:tbl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
    <w:name w:val="Grid Table 4"/>
    <w:basedOn w:val="Tablanormal"/>
    <w:uiPriority w:val="49"/>
    <w:rsid w:val="00351832"/>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anormal"/>
    <w:rsid w:val="0070456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clara">
    <w:name w:val="Grid Table Light"/>
    <w:basedOn w:val="Tablanormal"/>
    <w:uiPriority w:val="40"/>
    <w:rsid w:val="002163a5"/>
    <w:pPr>
      <w:spacing w:before="120" w:after="120" w:line="240" w:lineRule="auto"/>
    </w:pPr>
    <w:rPr>
      <w:sz w:val="20"/>
    </w:rPr>
    <w:tblPr>
      <w:tblCellMar>
        <w:top w:w="115" w:type="dxa"/>
        <w:bottom w:w="115" w:type="dxa"/>
      </w:tblCellMar>
    </w:tblPr>
    <w:tcPr>
      <w:shd w:val="clear" w:color="auto" w:fill="D9D9D9" w:themeFill="background1" w:themeFillShade="d9"/>
      <w:vAlign w:val="center"/>
    </w:tcPr>
  </w:style>
  <w:style w:type="table" w:styleId="Tablanormal1">
    <w:name w:val="Plain Table 1"/>
    <w:basedOn w:val="Tablanormal"/>
    <w:uiPriority w:val="41"/>
    <w:rsid w:val="002b240c"/>
    <w:pPr>
      <w:spacing w:after="0" w:line="240" w:lineRule="auto"/>
    </w:pPr>
    <w:tblPr>
      <w:tblStyleRowBandSize w:val="1"/>
      <w:tblStyleColBandSize w:val="1"/>
    </w:tblPr>
    <w:tcPr>
      <w:vAlign w:val="center"/>
    </w:tcPr>
    <w:tblStylePr w:type="firstRow">
      <w:rPr>
        <w:b/>
        <w:bCs/>
      </w:rPr>
      <w:tblPr/>
      <w:tcPr>
        <w:shd w:val="clear" w:color="auto" w:fill="A4B1CD"/>
      </w:tcPr>
    </w:tblStylePr>
    <w:tblStylePr w:type="lastRow">
      <w:rPr>
        <w:b/>
        <w:bCs/>
      </w:rPr>
      <w:tblPr/>
      <w:tcPr>
        <w:tcBorders>
          <w:top w:val="double" w:color="BFBFBF" w:themeColor="background1" w:sz="4" w:space="0"/>
        </w:tcBorders>
      </w:tcPr>
    </w:tblStylePr>
    <w:tblStylePr w:type="firstCol">
      <w:rPr>
        <w:b/>
        <w:bCs/>
        <w:color w:themeColor="background1"/>
      </w:rPr>
      <w:tblPr/>
      <w:tcPr>
        <w:shd w:val="clear" w:color="auto" w:fill="FF3E3E"/>
      </w:tcPr>
    </w:tblStylePr>
    <w:tblStylePr w:type="lastCol">
      <w:rPr>
        <w:b/>
        <w:bCs/>
      </w:rPr>
      <w:tblPr/>
    </w:tblStylePr>
    <w:tblStylePr w:type="band1Horz">
      <w:tblPr/>
      <w:tcPr>
        <w:shd w:val="clear" w:color="auto" w:fill="BFC8DC"/>
      </w:tcPr>
    </w:tblStylePr>
    <w:tblStylePr w:type="band2Horz">
      <w:tblPr/>
      <w:tcPr>
        <w:shd w:val="clear" w:color="auto" w:fill="A4B1CD"/>
      </w:tcPr>
    </w:tblStylePr>
    <w:tblStylePr w:type="nwCell">
      <w:tblPr/>
      <w:tcPr>
        <w:shd w:val="clear" w:color="auto" w:fill="FF3E3E"/>
      </w:tcPr>
    </w:tblStylePr>
  </w:style>
  <w:style w:type="table" w:customStyle="1" w:styleId="MediumFinding">
    <w:name w:val="Medium Finding"/>
    <w:basedOn w:val="Tablanormal1"/>
    <w:uiPriority w:val="99"/>
    <w:rsid w:val="00f93b55"/>
    <w:tblStylePr w:type="firstRow">
      <w:rPr>
        <w:b/>
        <w:bCs/>
      </w:rPr>
      <w:tblPr/>
      <w:tcPr>
        <w:shd w:val="clear" w:color="auto" w:fill="A4B1CD"/>
      </w:tcPr>
    </w:tblStylePr>
    <w:tblStylePr w:type="lastRow">
      <w:rPr>
        <w:b/>
        <w:bCs/>
      </w:rPr>
      <w:tblPr/>
      <w:tcPr>
        <w:tcBorders>
          <w:top w:val="double" w:color="BFBFBF" w:themeColor="background1" w:sz="4" w:space="0"/>
        </w:tcBorders>
      </w:tcPr>
    </w:tblStylePr>
    <w:tblStylePr w:type="firstCol">
      <w:rPr>
        <w:b/>
        <w:bCs/>
        <w:color w:themeColor="background1"/>
      </w:rPr>
      <w:tblPr/>
      <w:tcPr>
        <w:shd w:val="clear" w:color="auto" w:fill="ED7D31"/>
      </w:tcPr>
    </w:tblStylePr>
    <w:tblStylePr w:type="lastCol">
      <w:rPr>
        <w:b/>
        <w:bCs/>
      </w:rPr>
      <w:tblPr/>
    </w:tblStylePr>
    <w:tblStylePr w:type="band1Horz">
      <w:tblPr/>
      <w:tcPr>
        <w:shd w:val="clear" w:color="auto" w:fill="BFC8DC"/>
      </w:tcPr>
    </w:tblStylePr>
    <w:tblStylePr w:type="band2Horz">
      <w:tblPr/>
      <w:tcPr>
        <w:shd w:val="clear" w:color="auto" w:fill="A4B1CD"/>
      </w:tcPr>
    </w:tblStylePr>
    <w:tblStylePr w:type="nwCell">
      <w:tblPr/>
      <w:tcPr>
        <w:shd w:val="clear" w:color="auto" w:fill="ED7D31"/>
      </w:tcPr>
    </w:tblStylePr>
  </w:style>
  <w:style w:type="table" w:customStyle="1" w:styleId="LowFinding">
    <w:name w:val="Low Finding"/>
    <w:basedOn w:val="Tablanormal1"/>
    <w:uiPriority w:val="99"/>
    <w:rsid w:val="00375482"/>
    <w:tblStylePr w:type="firstRow">
      <w:rPr>
        <w:b/>
        <w:bCs/>
      </w:rPr>
      <w:tblPr/>
      <w:tcPr>
        <w:shd w:val="clear" w:color="auto" w:fill="A4B1CD"/>
      </w:tcPr>
    </w:tblStylePr>
    <w:tblStylePr w:type="lastRow">
      <w:rPr>
        <w:b/>
        <w:bCs/>
      </w:rPr>
      <w:tblPr/>
      <w:tcPr>
        <w:tcBorders>
          <w:top w:val="double" w:color="BFBFBF" w:themeColor="background1" w:sz="4" w:space="0"/>
        </w:tcBorders>
      </w:tcPr>
    </w:tblStylePr>
    <w:tblStylePr w:type="firstCol">
      <w:rPr>
        <w:b/>
        <w:bCs/>
        <w:color w:themeColor="background1"/>
      </w:rPr>
      <w:tblPr/>
      <w:tcPr>
        <w:shd w:val="clear" w:color="auto" w:fill="006600"/>
      </w:tcPr>
    </w:tblStylePr>
    <w:tblStylePr w:type="lastCol">
      <w:rPr>
        <w:b/>
        <w:bCs/>
      </w:rPr>
      <w:tblPr/>
    </w:tblStylePr>
    <w:tblStylePr w:type="band1Horz">
      <w:tblPr/>
      <w:tcPr>
        <w:shd w:val="clear" w:color="auto" w:fill="BFC8DC"/>
      </w:tcPr>
    </w:tblStylePr>
    <w:tblStylePr w:type="band2Horz">
      <w:tblPr/>
      <w:tcPr>
        <w:shd w:val="clear" w:color="auto" w:fill="A4B1CD"/>
      </w:tcPr>
    </w:tblStylePr>
    <w:tblStylePr w:type="nwCell">
      <w:tblPr/>
      <w:tcPr>
        <w:shd w:val="clear" w:color="auto" w:fill="006600"/>
      </w:tcPr>
    </w:tblStylePr>
  </w:style>
  <w:style w:type="table" w:customStyle="1" w:styleId="Style1">
    <w:name w:val="Style1"/>
    <w:basedOn w:val="Tablanormal1"/>
    <w:uiPriority w:val="99"/>
    <w:rsid w:val="00934a22"/>
    <w:tblStylePr w:type="firstRow">
      <w:rPr>
        <w:b/>
        <w:bCs/>
      </w:rPr>
      <w:tblPr/>
      <w:tcPr>
        <w:shd w:val="clear" w:color="auto" w:fill="A4B1CD"/>
      </w:tcPr>
    </w:tblStylePr>
    <w:tblStylePr w:type="lastRow">
      <w:rPr>
        <w:b/>
        <w:bCs/>
      </w:rPr>
      <w:tblPr/>
      <w:tcPr>
        <w:tcBorders>
          <w:top w:val="double" w:color="BFBFBF" w:themeColor="background1" w:sz="4" w:space="0"/>
        </w:tcBorders>
      </w:tcPr>
    </w:tblStylePr>
    <w:tblStylePr w:type="firstCol">
      <w:rPr>
        <w:b/>
        <w:bCs/>
        <w:color w:themeColor="background1"/>
      </w:rPr>
      <w:tblPr/>
      <w:tcPr>
        <w:shd w:val="clear" w:color="auto" w:fill="0000FF"/>
      </w:tcPr>
    </w:tblStylePr>
    <w:tblStylePr w:type="lastCol">
      <w:rPr>
        <w:b/>
        <w:bCs/>
      </w:rPr>
      <w:tblPr/>
    </w:tblStylePr>
    <w:tblStylePr w:type="band1Horz">
      <w:tblPr/>
      <w:tcPr>
        <w:shd w:val="clear" w:color="auto" w:fill="BFC8DC"/>
      </w:tcPr>
    </w:tblStylePr>
    <w:tblStylePr w:type="band2Horz">
      <w:tblPr/>
      <w:tcPr>
        <w:shd w:val="clear" w:color="auto" w:fill="A4B1CD"/>
      </w:tcPr>
    </w:tblStylePr>
    <w:tblStylePr w:type="nwCell">
      <w:tblPr/>
      <w:tcPr>
        <w:shd w:val="clear" w:color="auto" w:fill="0000F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Tema1">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rbel">
      <a:majorFont>
        <a:latin typeface="Corbel" panose="020B0503020204020204" pitchFamily="0" charset="1"/>
        <a:ea typeface=""/>
        <a:cs typeface=""/>
      </a:majorFont>
      <a:minorFont>
        <a:latin typeface="Corbel" panose="020B0503020204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BE7BE-FCC1-4926-921C-DB1B84D16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Application>LibreOffice/24.2.7.2$Linux_X86_64 LibreOffice_project/420$Build-2</Application>
  <AppVersion>15.0000</AppVersion>
  <Pages>7</Pages>
  <Words>1362</Words>
  <Characters>8018</Characters>
  <CharactersWithSpaces>9236</CharactersWithSpaces>
  <Paragraphs>120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2022-05-18T11:15:00Z</dcterms:created>
  <dc:creator>Owner</dc:creator>
  <dc:description/>
  <dc:language>es-ES</dc:language>
  <cp:lastModifiedBy/>
  <cp:lastPrinted>2025-08-24T12:33:09Z</cp:lastPrinted>
  <dcterms:modified xsi:type="dcterms:W3CDTF">2025-08-24T12:33:04Z</dcterms:modified>
  <cp:revision>86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FontProps">
    <vt:lpwstr>#000000,10,Calibri</vt:lpwstr>
  </property>
  <property fmtid="{D5CDD505-2E9C-101B-9397-08002B2CF9AE}" pid="3" name="ClassificationContentMarkingHeaderShapeIds">
    <vt:lpwstr>49d94e06,3a2f8954,17ab674a</vt:lpwstr>
  </property>
  <property fmtid="{D5CDD505-2E9C-101B-9397-08002B2CF9AE}" pid="4" name="ClassificationContentMarkingHeaderText">
    <vt:lpwstr>--- Información de uso interno ---</vt:lpwstr>
  </property>
  <property fmtid="{D5CDD505-2E9C-101B-9397-08002B2CF9AE}" pid="5" name="MSIP_Label_44957b9c-d104-468b-a79a-d70a3cae0a92_ActionId">
    <vt:lpwstr>94cb99cd-429f-4f35-a386-f2014e92d4b8</vt:lpwstr>
  </property>
  <property fmtid="{D5CDD505-2E9C-101B-9397-08002B2CF9AE}" pid="6" name="MSIP_Label_44957b9c-d104-468b-a79a-d70a3cae0a92_ContentBits">
    <vt:lpwstr>1</vt:lpwstr>
  </property>
  <property fmtid="{D5CDD505-2E9C-101B-9397-08002B2CF9AE}" pid="7" name="MSIP_Label_44957b9c-d104-468b-a79a-d70a3cae0a92_Enabled">
    <vt:lpwstr>true</vt:lpwstr>
  </property>
  <property fmtid="{D5CDD505-2E9C-101B-9397-08002B2CF9AE}" pid="8" name="MSIP_Label_44957b9c-d104-468b-a79a-d70a3cae0a92_Method">
    <vt:lpwstr>Standard</vt:lpwstr>
  </property>
  <property fmtid="{D5CDD505-2E9C-101B-9397-08002B2CF9AE}" pid="9" name="MSIP_Label_44957b9c-d104-468b-a79a-d70a3cae0a92_Name">
    <vt:lpwstr>Interna</vt:lpwstr>
  </property>
  <property fmtid="{D5CDD505-2E9C-101B-9397-08002B2CF9AE}" pid="10" name="MSIP_Label_44957b9c-d104-468b-a79a-d70a3cae0a92_SetDate">
    <vt:lpwstr>2025-04-16T10:21:34Z</vt:lpwstr>
  </property>
  <property fmtid="{D5CDD505-2E9C-101B-9397-08002B2CF9AE}" pid="11" name="MSIP_Label_44957b9c-d104-468b-a79a-d70a3cae0a92_SiteId">
    <vt:lpwstr>78a0d45f-5b0a-4064-b440-5d925a461b7b</vt:lpwstr>
  </property>
  <property fmtid="{D5CDD505-2E9C-101B-9397-08002B2CF9AE}" pid="12" name="MSIP_Label_44957b9c-d104-468b-a79a-d70a3cae0a92_Tag">
    <vt:lpwstr>10, 3, 0, 1</vt:lpwstr>
  </property>
</Properties>
</file>